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1" w:rsidRDefault="00EF5B2E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UCHWAŁA Nr XLI / 327 </w:t>
      </w:r>
      <w:r w:rsidR="00CB2791">
        <w:rPr>
          <w:b/>
          <w:color w:val="000000"/>
          <w:szCs w:val="24"/>
        </w:rPr>
        <w:t>/ 13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CHEŁMŻA</w:t>
      </w:r>
    </w:p>
    <w:p w:rsidR="00EF5B2E" w:rsidRDefault="00EF5B2E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bookmarkStart w:id="0" w:name="_GoBack"/>
      <w:bookmarkEnd w:id="0"/>
    </w:p>
    <w:p w:rsidR="00CB2791" w:rsidRDefault="00CB2791" w:rsidP="00CB2791">
      <w:pPr>
        <w:pStyle w:val="Tekstpodstawowy2"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z dnia 26 listopada 2013 r.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5D0565" w:rsidRDefault="005D0565" w:rsidP="00CB2791">
      <w:pPr>
        <w:pStyle w:val="Tekstpodstawowy2"/>
        <w:spacing w:line="240" w:lineRule="auto"/>
        <w:rPr>
          <w:color w:val="000000"/>
          <w:szCs w:val="24"/>
        </w:rPr>
      </w:pPr>
    </w:p>
    <w:p w:rsidR="00167129" w:rsidRDefault="00167129" w:rsidP="001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6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 nadania</w:t>
      </w:r>
      <w:r w:rsidRPr="00167129">
        <w:rPr>
          <w:b/>
          <w:color w:val="000000"/>
          <w:szCs w:val="24"/>
        </w:rPr>
        <w:t xml:space="preserve"> </w:t>
      </w:r>
      <w:r w:rsidRPr="00167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Panu Heliodorowi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arcinkowskiemu</w:t>
      </w:r>
    </w:p>
    <w:p w:rsidR="00167129" w:rsidRPr="00B266E7" w:rsidRDefault="00167129" w:rsidP="001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67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26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tytułu Zasłużony dla Gminy Chełmża.</w:t>
      </w:r>
    </w:p>
    <w:p w:rsidR="00167129" w:rsidRPr="00B266E7" w:rsidRDefault="00167129" w:rsidP="0016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129" w:rsidRPr="00B266E7" w:rsidRDefault="00167129" w:rsidP="0016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2791" w:rsidRPr="00167129" w:rsidRDefault="00167129" w:rsidP="0016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 podstawie art. 18 ust. 1 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awy  z  dnia  8 marca 1990  r.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samorządzie gminnym </w:t>
      </w:r>
      <w:r w:rsidRPr="00B266E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B266E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2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 i 645), § 1 i § 5 ust. 2  Regulaminu przyznawania tytułu „Zasłużony dla Gminy Chełmża” ustalonego 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uchwałą Nr XL/316/13 Rady Gminy Chełmża z dnia 29 października 2013 r. w sprawie ustanowienia i określenia zasad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rzyznawania honorowego tytułu „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Zasłużony dla Gminy Chełmża” uchwala się, co następuje: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§ 1.</w:t>
      </w:r>
      <w:r>
        <w:rPr>
          <w:color w:val="000000"/>
          <w:szCs w:val="24"/>
        </w:rPr>
        <w:t xml:space="preserve"> Nadaje się </w:t>
      </w:r>
      <w:r>
        <w:rPr>
          <w:b/>
          <w:color w:val="000000"/>
          <w:szCs w:val="24"/>
        </w:rPr>
        <w:t xml:space="preserve">Panu Heliodorowi Marcinkowskiemu  </w:t>
      </w:r>
      <w:r>
        <w:rPr>
          <w:color w:val="000000"/>
          <w:szCs w:val="24"/>
        </w:rPr>
        <w:t>tytuł: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Zasłużony dla Gminy Chełmża</w:t>
      </w:r>
    </w:p>
    <w:p w:rsidR="00CB2791" w:rsidRDefault="00CB2791" w:rsidP="00CB2791">
      <w:pPr>
        <w:pStyle w:val="Tekstpodstawowy2"/>
        <w:spacing w:line="240" w:lineRule="auto"/>
        <w:jc w:val="center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 działalność, która przyczyniła się do społecznego i gospodarczego rozwoju Gminy Chełmża </w:t>
      </w:r>
      <w:r w:rsidR="00823597">
        <w:rPr>
          <w:color w:val="000000"/>
          <w:szCs w:val="24"/>
        </w:rPr>
        <w:t xml:space="preserve">oraz </w:t>
      </w:r>
      <w:r>
        <w:rPr>
          <w:color w:val="000000"/>
          <w:szCs w:val="24"/>
        </w:rPr>
        <w:t>dorobek i osiągnięcia zasługujące na szczególne uznanie.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  <w:r>
        <w:rPr>
          <w:b/>
          <w:color w:val="000000"/>
          <w:szCs w:val="24"/>
        </w:rPr>
        <w:t>§ 2.</w:t>
      </w:r>
      <w:r>
        <w:rPr>
          <w:color w:val="000000"/>
          <w:szCs w:val="24"/>
        </w:rPr>
        <w:t xml:space="preserve"> Uchwała wchodzi w życie z dniem podjęcia.</w:t>
      </w: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Uzasadnienie</w:t>
      </w:r>
    </w:p>
    <w:p w:rsidR="00CB2791" w:rsidRDefault="00EF5B2E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 uchwały Nr XLI / 327 /</w:t>
      </w:r>
      <w:r w:rsidR="00CB2791">
        <w:rPr>
          <w:b/>
          <w:color w:val="000000"/>
          <w:szCs w:val="24"/>
        </w:rPr>
        <w:t xml:space="preserve">13 Rady Gminy Chełmża 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26 listopada 2013 r.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EF5B2E" w:rsidRDefault="00EF5B2E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 w:rsidRPr="00212332">
        <w:rPr>
          <w:color w:val="000000"/>
          <w:szCs w:val="24"/>
        </w:rPr>
        <w:t>Rada</w:t>
      </w:r>
      <w:r w:rsidR="00EF5B2E">
        <w:rPr>
          <w:color w:val="000000"/>
          <w:szCs w:val="24"/>
        </w:rPr>
        <w:t xml:space="preserve"> Gminy Chełmża uchwałą nr XL/316</w:t>
      </w:r>
      <w:r w:rsidRPr="00212332">
        <w:rPr>
          <w:color w:val="000000"/>
          <w:szCs w:val="24"/>
        </w:rPr>
        <w:t>/13 z dnia 29 października 2013 r. ustanowiła i określiła zasady przyznawania honorowego tytułu „Zasłużony dla Gminy Chełmża”</w:t>
      </w:r>
      <w:r>
        <w:rPr>
          <w:color w:val="000000"/>
          <w:szCs w:val="24"/>
        </w:rPr>
        <w:t>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Regulamin przewiduje możliwość składania wniosków przez: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organizacje pozarządowe działające na ternie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sołtysa wraz z radą sołecką;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3269C9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>dyrektora instytucji kultury;</w:t>
      </w:r>
    </w:p>
    <w:p w:rsidR="00CB2791" w:rsidRDefault="00CB2791" w:rsidP="00CB27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6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 najmniej 25</w:t>
      </w:r>
      <w:r w:rsidRPr="003269C9">
        <w:rPr>
          <w:rFonts w:ascii="Times New Roman" w:hAnsi="Times New Roman" w:cs="Times New Roman"/>
          <w:sz w:val="24"/>
          <w:szCs w:val="24"/>
        </w:rPr>
        <w:t xml:space="preserve"> pełnoletnich osób zamieszkałych na stałe na terenie Gminy Chełmża, podpisanych na liście osób popierających, która jest dołączona do formularza zgłoszeniowego.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grupy mieszkańców  o nadanie Panu Heliodorowi Marcinkowskiemu tytułu „Zasłużony dla Gminy Chełmża” wpłynął do Urzędu Gminy w dniu 20 listopada br. 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kompletny i spełnia warunki określone w regulaminie: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wniosek złożony w terminie regulaminowym tj. 20 listopada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obowiązującym druku,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zawiera wymagane elementy: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dane osobowe kandydata do tytułu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pisemną zgodę kandydata i jego oświadczenie dotyczące niekaralności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zasługi uzasadniające nadanie</w:t>
      </w:r>
      <w:r>
        <w:rPr>
          <w:rFonts w:ascii="Times New Roman" w:hAnsi="Times New Roman" w:cs="Times New Roman"/>
          <w:sz w:val="24"/>
          <w:szCs w:val="24"/>
        </w:rPr>
        <w:t xml:space="preserve"> tytułu;</w:t>
      </w:r>
    </w:p>
    <w:p w:rsidR="00CB2791" w:rsidRDefault="00CB2791" w:rsidP="00CB27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podpis wnioskodawcy</w:t>
      </w:r>
      <w:r>
        <w:rPr>
          <w:rFonts w:ascii="Times New Roman" w:hAnsi="Times New Roman" w:cs="Times New Roman"/>
          <w:sz w:val="24"/>
          <w:szCs w:val="24"/>
        </w:rPr>
        <w:t xml:space="preserve"> ( formularz zgłoszeniowy został podpisany przez pierwszą osobę umieszczona na liście osób popierających),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 wniosku dołączono listę osób popierających </w:t>
      </w:r>
      <w:r w:rsidR="00EF5B2E">
        <w:rPr>
          <w:rFonts w:ascii="Times New Roman" w:hAnsi="Times New Roman" w:cs="Times New Roman"/>
          <w:sz w:val="24"/>
          <w:szCs w:val="24"/>
        </w:rPr>
        <w:t>(</w:t>
      </w:r>
      <w:r w:rsidR="00A4321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podpisy).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regulaminem wniosek sprawdzony pod względem kompletności oraz spełnienia warunków opiniują komisje Rady Gminy.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Pr="00212332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/>
    <w:p w:rsidR="00795532" w:rsidRDefault="00795532"/>
    <w:sectPr w:rsidR="00795532" w:rsidSect="00EF5B2E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791"/>
    <w:rsid w:val="001647DF"/>
    <w:rsid w:val="00167129"/>
    <w:rsid w:val="005D0565"/>
    <w:rsid w:val="00795532"/>
    <w:rsid w:val="00821C0E"/>
    <w:rsid w:val="00823597"/>
    <w:rsid w:val="008D241E"/>
    <w:rsid w:val="00A31715"/>
    <w:rsid w:val="00A43216"/>
    <w:rsid w:val="00C439C6"/>
    <w:rsid w:val="00CB2791"/>
    <w:rsid w:val="00EF5B2E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27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27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Beata Kozłowska</cp:lastModifiedBy>
  <cp:revision>6</cp:revision>
  <cp:lastPrinted>2013-11-22T11:47:00Z</cp:lastPrinted>
  <dcterms:created xsi:type="dcterms:W3CDTF">2013-11-22T11:29:00Z</dcterms:created>
  <dcterms:modified xsi:type="dcterms:W3CDTF">2013-11-29T08:59:00Z</dcterms:modified>
</cp:coreProperties>
</file>