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C2" w:rsidRDefault="002A5FC2" w:rsidP="002A5FC2">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2A5FC2" w:rsidRDefault="002A5FC2" w:rsidP="002A5FC2">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795F9D">
        <w:rPr>
          <w:rFonts w:ascii="Times New Roman" w:eastAsia="Times New Roman" w:hAnsi="Times New Roman"/>
          <w:sz w:val="16"/>
          <w:szCs w:val="16"/>
          <w:lang w:eastAsia="pl-PL"/>
        </w:rPr>
        <w:t>56</w:t>
      </w:r>
      <w:r>
        <w:rPr>
          <w:rFonts w:ascii="Times New Roman" w:eastAsia="Times New Roman" w:hAnsi="Times New Roman"/>
          <w:sz w:val="16"/>
          <w:szCs w:val="16"/>
          <w:lang w:eastAsia="pl-PL"/>
        </w:rPr>
        <w:t>/15</w:t>
      </w:r>
    </w:p>
    <w:p w:rsidR="002A5FC2" w:rsidRDefault="002A5FC2" w:rsidP="002A5FC2">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2A5FC2" w:rsidRDefault="002A5FC2" w:rsidP="002A5FC2">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795F9D">
        <w:rPr>
          <w:rFonts w:ascii="Times New Roman" w:eastAsia="Times New Roman" w:hAnsi="Times New Roman"/>
          <w:sz w:val="16"/>
          <w:szCs w:val="16"/>
          <w:lang w:eastAsia="pl-PL"/>
        </w:rPr>
        <w:t>10</w:t>
      </w:r>
      <w:r w:rsidR="00795F9D">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czerwca 2015 r. </w:t>
      </w:r>
    </w:p>
    <w:p w:rsidR="002A5FC2" w:rsidRDefault="002A5FC2" w:rsidP="002A5FC2">
      <w:pPr>
        <w:tabs>
          <w:tab w:val="left" w:pos="7320"/>
        </w:tabs>
        <w:spacing w:after="0" w:line="240" w:lineRule="auto"/>
        <w:rPr>
          <w:rFonts w:ascii="Times New Roman" w:eastAsia="Times New Roman" w:hAnsi="Times New Roman"/>
          <w:sz w:val="20"/>
          <w:szCs w:val="20"/>
          <w:lang w:eastAsia="pl-PL"/>
        </w:rPr>
      </w:pPr>
    </w:p>
    <w:p w:rsidR="002A5FC2" w:rsidRDefault="002A5FC2" w:rsidP="002A5FC2">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sz w:val="20"/>
          <w:szCs w:val="20"/>
          <w:lang w:eastAsia="pl-PL"/>
        </w:rPr>
        <w:t>Na podstawie art. 30 ust. 2 pkt 3 ustawy z dnia 8 marca 1990 r. o samorządzie gminnym (</w:t>
      </w:r>
      <w:proofErr w:type="spellStart"/>
      <w:r>
        <w:rPr>
          <w:rFonts w:ascii="Times New Roman" w:eastAsia="Times New Roman" w:hAnsi="Times New Roman"/>
          <w:sz w:val="20"/>
          <w:szCs w:val="20"/>
          <w:lang w:eastAsia="pl-PL"/>
        </w:rPr>
        <w:t>Dz.U</w:t>
      </w:r>
      <w:proofErr w:type="spellEnd"/>
      <w:r>
        <w:rPr>
          <w:rFonts w:ascii="Times New Roman" w:eastAsia="Times New Roman" w:hAnsi="Times New Roman"/>
          <w:sz w:val="20"/>
          <w:szCs w:val="20"/>
          <w:lang w:eastAsia="pl-PL"/>
        </w:rPr>
        <w:t>. z 2013 r. poz. 594 z późn.zm.), art. 11 ust. 1, art. 13 ust. 1</w:t>
      </w:r>
      <w:r>
        <w:rPr>
          <w:rFonts w:ascii="Times New Roman" w:eastAsia="Times New Roman" w:hAnsi="Times New Roman"/>
          <w:color w:val="FF0000"/>
          <w:sz w:val="20"/>
          <w:szCs w:val="20"/>
          <w:lang w:eastAsia="pl-PL"/>
        </w:rPr>
        <w:t xml:space="preserve"> </w:t>
      </w:r>
      <w:r>
        <w:rPr>
          <w:rFonts w:ascii="Times New Roman" w:eastAsia="Times New Roman" w:hAnsi="Times New Roman"/>
          <w:sz w:val="20"/>
          <w:szCs w:val="20"/>
          <w:lang w:eastAsia="pl-PL"/>
        </w:rPr>
        <w:t xml:space="preserve">i art. 38 </w:t>
      </w:r>
      <w:r>
        <w:rPr>
          <w:rFonts w:ascii="Times New Roman" w:eastAsia="Times New Roman" w:hAnsi="Times New Roman"/>
          <w:color w:val="000000"/>
          <w:sz w:val="20"/>
          <w:szCs w:val="20"/>
          <w:lang w:eastAsia="pl-PL"/>
        </w:rPr>
        <w:t>ustawy z dnia 21 sierpnia 1997 r. o gospodarce   nieruchomościami (</w:t>
      </w:r>
      <w:proofErr w:type="spellStart"/>
      <w:r>
        <w:rPr>
          <w:rFonts w:ascii="Times New Roman" w:eastAsia="Times New Roman" w:hAnsi="Times New Roman"/>
          <w:color w:val="000000"/>
          <w:sz w:val="20"/>
          <w:szCs w:val="20"/>
          <w:lang w:eastAsia="pl-PL"/>
        </w:rPr>
        <w:t>Dz.U</w:t>
      </w:r>
      <w:proofErr w:type="spellEnd"/>
      <w:r>
        <w:rPr>
          <w:rFonts w:ascii="Times New Roman" w:eastAsia="Times New Roman" w:hAnsi="Times New Roman"/>
          <w:color w:val="000000"/>
          <w:sz w:val="20"/>
          <w:szCs w:val="20"/>
          <w:lang w:eastAsia="pl-PL"/>
        </w:rPr>
        <w:t xml:space="preserve">. z 2014 r. poz. 518 z późn.zm.), </w:t>
      </w:r>
      <w:r>
        <w:rPr>
          <w:rFonts w:ascii="Times New Roman" w:eastAsia="Times New Roman" w:hAnsi="Times New Roman"/>
          <w:sz w:val="20"/>
          <w:szCs w:val="20"/>
          <w:lang w:eastAsia="pl-PL"/>
        </w:rPr>
        <w:t>uchwały Nr II/10/14 Rady Gminy Chełmża z dnia 19 grudnia 2014 r. w sprawie sprzedaży nieruchomości we wsi Zelgno.</w:t>
      </w:r>
    </w:p>
    <w:p w:rsidR="002A5FC2" w:rsidRDefault="002A5FC2" w:rsidP="002A5FC2">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2A5FC2" w:rsidRDefault="002A5FC2" w:rsidP="002A5FC2">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ograniczony</w:t>
      </w:r>
    </w:p>
    <w:p w:rsidR="002A5FC2" w:rsidRDefault="002A5FC2" w:rsidP="002A5FC2">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niezabudowanej nieruchomości stanowiącej zasób nieruchomości Gminy Chełmża</w:t>
      </w:r>
    </w:p>
    <w:p w:rsidR="002A5FC2" w:rsidRDefault="002A5FC2" w:rsidP="002A5FC2">
      <w:pPr>
        <w:spacing w:after="0" w:line="240" w:lineRule="auto"/>
        <w:jc w:val="center"/>
        <w:rPr>
          <w:rFonts w:ascii="Times New Roman" w:eastAsia="Times New Roman" w:hAnsi="Times New Roman"/>
          <w:b/>
          <w:sz w:val="18"/>
          <w:szCs w:val="18"/>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57"/>
        <w:gridCol w:w="1814"/>
        <w:gridCol w:w="1260"/>
        <w:gridCol w:w="1260"/>
        <w:gridCol w:w="1080"/>
        <w:gridCol w:w="1980"/>
      </w:tblGrid>
      <w:tr w:rsidR="002A5FC2" w:rsidTr="002A5FC2">
        <w:tc>
          <w:tcPr>
            <w:tcW w:w="430"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both"/>
              <w:rPr>
                <w:rFonts w:ascii="Times New Roman" w:eastAsia="Times New Roman" w:hAnsi="Times New Roman"/>
                <w:sz w:val="16"/>
                <w:szCs w:val="16"/>
                <w:lang w:eastAsia="pl-PL"/>
              </w:rPr>
            </w:pPr>
          </w:p>
          <w:p w:rsidR="002A5FC2" w:rsidRDefault="002A5FC2">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both"/>
              <w:rPr>
                <w:rFonts w:ascii="Times New Roman" w:eastAsia="Times New Roman" w:hAnsi="Times New Roman"/>
                <w:sz w:val="16"/>
                <w:szCs w:val="16"/>
                <w:lang w:eastAsia="pl-PL"/>
              </w:rPr>
            </w:pP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57"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center"/>
              <w:rPr>
                <w:rFonts w:ascii="Times New Roman" w:eastAsia="Times New Roman" w:hAnsi="Times New Roman"/>
                <w:sz w:val="16"/>
                <w:szCs w:val="16"/>
                <w:lang w:eastAsia="pl-PL"/>
              </w:rPr>
            </w:pP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14"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both"/>
              <w:rPr>
                <w:rFonts w:ascii="Times New Roman" w:eastAsia="Times New Roman" w:hAnsi="Times New Roman"/>
                <w:sz w:val="16"/>
                <w:szCs w:val="16"/>
                <w:lang w:eastAsia="pl-PL"/>
              </w:rPr>
            </w:pP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center"/>
              <w:rPr>
                <w:rFonts w:ascii="Times New Roman" w:eastAsia="Times New Roman" w:hAnsi="Times New Roman"/>
                <w:sz w:val="16"/>
                <w:szCs w:val="16"/>
                <w:lang w:eastAsia="pl-PL"/>
              </w:rPr>
            </w:pP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2A5FC2" w:rsidTr="002A5FC2">
        <w:tc>
          <w:tcPr>
            <w:tcW w:w="430"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57"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14"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2A5FC2" w:rsidRDefault="002A5FC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2A5FC2" w:rsidTr="002A5FC2">
        <w:trPr>
          <w:trHeight w:val="1065"/>
        </w:trPr>
        <w:tc>
          <w:tcPr>
            <w:tcW w:w="430"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both"/>
              <w:rPr>
                <w:rFonts w:ascii="Times New Roman" w:eastAsia="Times New Roman" w:hAnsi="Times New Roman"/>
                <w:sz w:val="18"/>
                <w:szCs w:val="20"/>
                <w:lang w:eastAsia="pl-PL"/>
              </w:rPr>
            </w:pPr>
          </w:p>
          <w:p w:rsidR="002A5FC2" w:rsidRDefault="002A5FC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hideMark/>
          </w:tcPr>
          <w:p w:rsidR="002A5FC2" w:rsidRDefault="002A5FC2" w:rsidP="002A5F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Zelgno</w:t>
            </w:r>
          </w:p>
          <w:p w:rsidR="002A5FC2" w:rsidRDefault="002A5FC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236/4</w:t>
            </w:r>
          </w:p>
          <w:p w:rsidR="002A5FC2" w:rsidRDefault="002A5FC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2A5FC2" w:rsidRDefault="002A5FC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TO1T/00045224/3</w:t>
            </w:r>
          </w:p>
          <w:p w:rsidR="002A5FC2" w:rsidRDefault="002A5FC2" w:rsidP="002A5FC2">
            <w:pPr>
              <w:spacing w:after="0" w:line="240" w:lineRule="auto"/>
              <w:rPr>
                <w:rFonts w:ascii="Times New Roman" w:eastAsia="Times New Roman" w:hAnsi="Times New Roman"/>
                <w:sz w:val="20"/>
                <w:szCs w:val="20"/>
                <w:lang w:eastAsia="pl-PL"/>
              </w:rPr>
            </w:pPr>
          </w:p>
          <w:p w:rsidR="002A5FC2" w:rsidRDefault="002A5FC2" w:rsidP="005E2CA7">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(br</w:t>
            </w:r>
            <w:r w:rsidR="005E2CA7">
              <w:rPr>
                <w:rFonts w:ascii="Times New Roman" w:eastAsia="Times New Roman" w:hAnsi="Times New Roman"/>
                <w:sz w:val="20"/>
                <w:szCs w:val="20"/>
                <w:lang w:eastAsia="pl-PL"/>
              </w:rPr>
              <w:t>ak dostępu do drogi publicznej )</w:t>
            </w:r>
          </w:p>
          <w:p w:rsidR="002A5FC2" w:rsidRDefault="002A5FC2">
            <w:pPr>
              <w:spacing w:after="0" w:line="240" w:lineRule="auto"/>
              <w:jc w:val="both"/>
              <w:rPr>
                <w:rFonts w:ascii="Times New Roman" w:eastAsia="Times New Roman" w:hAnsi="Times New Roman"/>
                <w:b/>
                <w:sz w:val="20"/>
                <w:szCs w:val="20"/>
                <w:lang w:eastAsia="pl-PL"/>
              </w:rPr>
            </w:pPr>
          </w:p>
          <w:p w:rsidR="002A5FC2" w:rsidRPr="002A5FC2" w:rsidRDefault="002A5FC2">
            <w:pPr>
              <w:spacing w:after="0" w:line="240" w:lineRule="auto"/>
              <w:rPr>
                <w:rFonts w:ascii="Times New Roman" w:eastAsia="Times New Roman" w:hAnsi="Times New Roman"/>
                <w:i/>
                <w:sz w:val="20"/>
                <w:szCs w:val="20"/>
                <w:lang w:eastAsia="pl-PL"/>
              </w:rPr>
            </w:pPr>
          </w:p>
        </w:tc>
        <w:tc>
          <w:tcPr>
            <w:tcW w:w="1257"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both"/>
              <w:rPr>
                <w:rFonts w:ascii="Times New Roman" w:eastAsia="Times New Roman" w:hAnsi="Times New Roman"/>
                <w:b/>
                <w:sz w:val="20"/>
                <w:szCs w:val="20"/>
                <w:lang w:eastAsia="pl-PL"/>
              </w:rPr>
            </w:pPr>
          </w:p>
          <w:p w:rsidR="002A5FC2" w:rsidRDefault="002A5F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3427B1">
              <w:rPr>
                <w:rFonts w:ascii="Times New Roman" w:eastAsia="Times New Roman" w:hAnsi="Times New Roman"/>
                <w:b/>
                <w:sz w:val="20"/>
                <w:szCs w:val="20"/>
                <w:lang w:eastAsia="pl-PL"/>
              </w:rPr>
              <w:t>0,4685</w:t>
            </w:r>
          </w:p>
          <w:p w:rsidR="002A5FC2" w:rsidRDefault="003427B1">
            <w:pPr>
              <w:spacing w:after="0" w:line="240" w:lineRule="auto"/>
              <w:jc w:val="both"/>
              <w:rPr>
                <w:rFonts w:ascii="Times New Roman" w:eastAsia="Times New Roman" w:hAnsi="Times New Roman"/>
                <w:sz w:val="18"/>
                <w:szCs w:val="20"/>
                <w:lang w:eastAsia="pl-PL"/>
              </w:rPr>
            </w:pPr>
            <w:proofErr w:type="spellStart"/>
            <w:r>
              <w:rPr>
                <w:rFonts w:ascii="Times New Roman" w:eastAsia="Times New Roman" w:hAnsi="Times New Roman"/>
                <w:sz w:val="18"/>
                <w:szCs w:val="20"/>
                <w:lang w:eastAsia="pl-PL"/>
              </w:rPr>
              <w:t>RIVa</w:t>
            </w:r>
            <w:proofErr w:type="spellEnd"/>
            <w:r>
              <w:rPr>
                <w:rFonts w:ascii="Times New Roman" w:eastAsia="Times New Roman" w:hAnsi="Times New Roman"/>
                <w:sz w:val="18"/>
                <w:szCs w:val="20"/>
                <w:lang w:eastAsia="pl-PL"/>
              </w:rPr>
              <w:t xml:space="preserve">  0,4685</w:t>
            </w:r>
          </w:p>
        </w:tc>
        <w:tc>
          <w:tcPr>
            <w:tcW w:w="1814" w:type="dxa"/>
            <w:tcBorders>
              <w:top w:val="single" w:sz="4" w:space="0" w:color="auto"/>
              <w:left w:val="single" w:sz="4" w:space="0" w:color="auto"/>
              <w:bottom w:val="single" w:sz="4" w:space="0" w:color="auto"/>
              <w:right w:val="single" w:sz="4" w:space="0" w:color="auto"/>
            </w:tcBorders>
            <w:hideMark/>
          </w:tcPr>
          <w:p w:rsidR="007C060A" w:rsidRDefault="003427B1" w:rsidP="007C060A">
            <w:pPr>
              <w:spacing w:after="0" w:line="240" w:lineRule="auto"/>
              <w:rPr>
                <w:rFonts w:ascii="Times New Roman" w:eastAsia="Times New Roman" w:hAnsi="Times New Roman"/>
                <w:sz w:val="18"/>
                <w:szCs w:val="20"/>
                <w:lang w:eastAsia="pl-PL"/>
              </w:rPr>
            </w:pPr>
            <w:r w:rsidRPr="003427B1">
              <w:rPr>
                <w:rFonts w:ascii="Times New Roman" w:eastAsia="Times New Roman" w:hAnsi="Times New Roman"/>
                <w:sz w:val="18"/>
                <w:szCs w:val="20"/>
                <w:lang w:eastAsia="pl-PL"/>
              </w:rPr>
              <w:t xml:space="preserve">Działka nie jest objęta miejscowym planem </w:t>
            </w:r>
            <w:r w:rsidR="00396E15">
              <w:rPr>
                <w:rFonts w:ascii="Times New Roman" w:eastAsia="Times New Roman" w:hAnsi="Times New Roman"/>
                <w:sz w:val="18"/>
                <w:szCs w:val="20"/>
                <w:lang w:eastAsia="pl-PL"/>
              </w:rPr>
              <w:t>zagospodarowania przestrzennego</w:t>
            </w:r>
            <w:r w:rsidRPr="003427B1">
              <w:rPr>
                <w:rFonts w:ascii="Times New Roman" w:eastAsia="Times New Roman" w:hAnsi="Times New Roman"/>
                <w:sz w:val="18"/>
                <w:szCs w:val="20"/>
                <w:lang w:eastAsia="pl-PL"/>
              </w:rPr>
              <w:t xml:space="preserve"> ani nie </w:t>
            </w:r>
            <w:r w:rsidR="00396E15">
              <w:rPr>
                <w:rFonts w:ascii="Times New Roman" w:eastAsia="Times New Roman" w:hAnsi="Times New Roman"/>
                <w:sz w:val="18"/>
                <w:szCs w:val="20"/>
                <w:lang w:eastAsia="pl-PL"/>
              </w:rPr>
              <w:t>wydano</w:t>
            </w:r>
            <w:r w:rsidRPr="003427B1">
              <w:rPr>
                <w:rFonts w:ascii="Times New Roman" w:eastAsia="Times New Roman" w:hAnsi="Times New Roman"/>
                <w:sz w:val="18"/>
                <w:szCs w:val="20"/>
                <w:lang w:eastAsia="pl-PL"/>
              </w:rPr>
              <w:t xml:space="preserve"> decyzj</w:t>
            </w:r>
            <w:r w:rsidR="00396E15">
              <w:rPr>
                <w:rFonts w:ascii="Times New Roman" w:eastAsia="Times New Roman" w:hAnsi="Times New Roman"/>
                <w:sz w:val="18"/>
                <w:szCs w:val="20"/>
                <w:lang w:eastAsia="pl-PL"/>
              </w:rPr>
              <w:t>i</w:t>
            </w:r>
            <w:r w:rsidRPr="003427B1">
              <w:rPr>
                <w:rFonts w:ascii="Times New Roman" w:eastAsia="Times New Roman" w:hAnsi="Times New Roman"/>
                <w:sz w:val="18"/>
                <w:szCs w:val="20"/>
                <w:lang w:eastAsia="pl-PL"/>
              </w:rPr>
              <w:t xml:space="preserve"> o warunkach zabudowy, w Studium uwarunkowań i kierunków zagospodarowania przestrzennego Gminy Chełmża</w:t>
            </w:r>
            <w:r w:rsidR="007C060A">
              <w:rPr>
                <w:rFonts w:ascii="Times New Roman" w:eastAsia="Times New Roman" w:hAnsi="Times New Roman"/>
                <w:sz w:val="18"/>
                <w:szCs w:val="20"/>
                <w:lang w:eastAsia="pl-PL"/>
              </w:rPr>
              <w:t>*</w:t>
            </w:r>
          </w:p>
          <w:p w:rsidR="002A5FC2" w:rsidRDefault="003427B1" w:rsidP="007C060A">
            <w:pPr>
              <w:spacing w:after="0" w:line="240" w:lineRule="auto"/>
              <w:rPr>
                <w:rFonts w:ascii="Times New Roman" w:eastAsia="Times New Roman" w:hAnsi="Times New Roman"/>
                <w:sz w:val="18"/>
                <w:szCs w:val="20"/>
                <w:lang w:eastAsia="pl-PL"/>
              </w:rPr>
            </w:pPr>
            <w:r w:rsidRPr="003427B1">
              <w:rPr>
                <w:rFonts w:ascii="Times New Roman" w:eastAsia="Times New Roman" w:hAnsi="Times New Roman"/>
                <w:sz w:val="18"/>
                <w:szCs w:val="20"/>
                <w:lang w:eastAsia="pl-PL"/>
              </w:rPr>
              <w:t xml:space="preserve">przeznaczona jest w części </w:t>
            </w:r>
            <w:r w:rsidR="007C060A">
              <w:rPr>
                <w:rFonts w:ascii="Times New Roman" w:eastAsia="Times New Roman" w:hAnsi="Times New Roman"/>
                <w:sz w:val="18"/>
                <w:szCs w:val="20"/>
                <w:lang w:eastAsia="pl-PL"/>
              </w:rPr>
              <w:t xml:space="preserve">jako </w:t>
            </w:r>
            <w:r w:rsidRPr="003427B1">
              <w:rPr>
                <w:rFonts w:ascii="Times New Roman" w:eastAsia="Times New Roman" w:hAnsi="Times New Roman"/>
                <w:sz w:val="18"/>
                <w:szCs w:val="20"/>
                <w:lang w:eastAsia="pl-PL"/>
              </w:rPr>
              <w:t>teren usługowo-mieszkaniow</w:t>
            </w:r>
            <w:r w:rsidR="007C060A">
              <w:rPr>
                <w:rFonts w:ascii="Times New Roman" w:eastAsia="Times New Roman" w:hAnsi="Times New Roman"/>
                <w:sz w:val="18"/>
                <w:szCs w:val="20"/>
                <w:lang w:eastAsia="pl-PL"/>
              </w:rPr>
              <w:t>y</w:t>
            </w:r>
            <w:r w:rsidRPr="003427B1">
              <w:rPr>
                <w:rFonts w:ascii="Times New Roman" w:eastAsia="Times New Roman" w:hAnsi="Times New Roman"/>
                <w:sz w:val="18"/>
                <w:szCs w:val="20"/>
                <w:lang w:eastAsia="pl-PL"/>
              </w:rPr>
              <w:t>, a w części pod zabudow</w:t>
            </w:r>
            <w:r w:rsidR="007C060A">
              <w:rPr>
                <w:rFonts w:ascii="Times New Roman" w:eastAsia="Times New Roman" w:hAnsi="Times New Roman"/>
                <w:sz w:val="18"/>
                <w:szCs w:val="20"/>
                <w:lang w:eastAsia="pl-PL"/>
              </w:rPr>
              <w:t>ę</w:t>
            </w:r>
            <w:r w:rsidRPr="003427B1">
              <w:rPr>
                <w:rFonts w:ascii="Times New Roman" w:eastAsia="Times New Roman" w:hAnsi="Times New Roman"/>
                <w:sz w:val="18"/>
                <w:szCs w:val="20"/>
                <w:lang w:eastAsia="pl-PL"/>
              </w:rPr>
              <w:t xml:space="preserve"> mieszkaniow</w:t>
            </w:r>
            <w:r w:rsidR="007C060A">
              <w:rPr>
                <w:rFonts w:ascii="Times New Roman" w:eastAsia="Times New Roman" w:hAnsi="Times New Roman"/>
                <w:sz w:val="18"/>
                <w:szCs w:val="20"/>
                <w:lang w:eastAsia="pl-PL"/>
              </w:rPr>
              <w:t>ą</w:t>
            </w:r>
            <w:r w:rsidRPr="003427B1">
              <w:rPr>
                <w:rFonts w:ascii="Times New Roman" w:eastAsia="Times New Roman" w:hAnsi="Times New Roman"/>
                <w:sz w:val="18"/>
                <w:szCs w:val="20"/>
                <w:lang w:eastAsia="pl-PL"/>
              </w:rPr>
              <w:t>.</w:t>
            </w:r>
            <w:r w:rsidR="007C060A">
              <w:rPr>
                <w:rFonts w:ascii="Times New Roman" w:eastAsia="Times New Roman" w:hAnsi="Times New Roman"/>
                <w:sz w:val="18"/>
                <w:szCs w:val="20"/>
                <w:lang w:eastAsia="pl-PL"/>
              </w:rPr>
              <w:t xml:space="preserve"> </w:t>
            </w:r>
          </w:p>
        </w:tc>
        <w:tc>
          <w:tcPr>
            <w:tcW w:w="1260"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both"/>
              <w:rPr>
                <w:rFonts w:ascii="Times New Roman" w:eastAsia="Times New Roman" w:hAnsi="Times New Roman"/>
                <w:b/>
                <w:sz w:val="20"/>
                <w:szCs w:val="20"/>
                <w:lang w:eastAsia="pl-PL"/>
              </w:rPr>
            </w:pPr>
          </w:p>
          <w:p w:rsidR="002A5FC2" w:rsidRDefault="00396E1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68 900,00</w:t>
            </w:r>
          </w:p>
        </w:tc>
        <w:tc>
          <w:tcPr>
            <w:tcW w:w="1260"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both"/>
              <w:rPr>
                <w:rFonts w:ascii="Times New Roman" w:eastAsia="Times New Roman" w:hAnsi="Times New Roman"/>
                <w:b/>
                <w:sz w:val="20"/>
                <w:szCs w:val="20"/>
                <w:lang w:eastAsia="pl-PL"/>
              </w:rPr>
            </w:pPr>
          </w:p>
          <w:p w:rsidR="002A5FC2" w:rsidRDefault="00396E1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6 890,00</w:t>
            </w:r>
          </w:p>
          <w:p w:rsidR="002A5FC2" w:rsidRDefault="002A5FC2">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2A5FC2" w:rsidRDefault="002A5FC2" w:rsidP="00170D64">
            <w:pPr>
              <w:spacing w:after="0" w:line="240" w:lineRule="auto"/>
              <w:jc w:val="both"/>
              <w:rPr>
                <w:rFonts w:ascii="Times New Roman" w:eastAsia="Times New Roman" w:hAnsi="Times New Roman"/>
                <w:sz w:val="16"/>
                <w:szCs w:val="16"/>
                <w:lang w:eastAsia="pl-PL"/>
              </w:rPr>
            </w:pPr>
            <w:r w:rsidRPr="001013CA">
              <w:rPr>
                <w:rFonts w:ascii="Times New Roman" w:eastAsia="Times New Roman" w:hAnsi="Times New Roman"/>
                <w:sz w:val="16"/>
                <w:szCs w:val="16"/>
                <w:lang w:eastAsia="pl-PL"/>
              </w:rPr>
              <w:t xml:space="preserve">do </w:t>
            </w:r>
            <w:r w:rsidR="00170D64" w:rsidRPr="001013CA">
              <w:rPr>
                <w:rFonts w:ascii="Times New Roman" w:eastAsia="Times New Roman" w:hAnsi="Times New Roman"/>
                <w:sz w:val="16"/>
                <w:szCs w:val="16"/>
                <w:lang w:eastAsia="pl-PL"/>
              </w:rPr>
              <w:t>10.</w:t>
            </w:r>
            <w:r w:rsidR="00396E15" w:rsidRPr="001013CA">
              <w:rPr>
                <w:rFonts w:ascii="Times New Roman" w:eastAsia="Times New Roman" w:hAnsi="Times New Roman"/>
                <w:sz w:val="16"/>
                <w:szCs w:val="16"/>
                <w:lang w:eastAsia="pl-PL"/>
              </w:rPr>
              <w:t>07</w:t>
            </w:r>
            <w:r w:rsidRPr="001013CA">
              <w:rPr>
                <w:rFonts w:ascii="Times New Roman" w:eastAsia="Times New Roman" w:hAnsi="Times New Roman"/>
                <w:sz w:val="16"/>
                <w:szCs w:val="16"/>
                <w:lang w:eastAsia="pl-PL"/>
              </w:rPr>
              <w:t>.2015 r.</w:t>
            </w:r>
          </w:p>
        </w:tc>
        <w:tc>
          <w:tcPr>
            <w:tcW w:w="1080"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both"/>
              <w:rPr>
                <w:rFonts w:ascii="Times New Roman" w:eastAsia="Times New Roman" w:hAnsi="Times New Roman"/>
                <w:b/>
                <w:sz w:val="20"/>
                <w:szCs w:val="20"/>
                <w:lang w:eastAsia="pl-PL"/>
              </w:rPr>
            </w:pPr>
          </w:p>
          <w:p w:rsidR="002A5FC2" w:rsidRDefault="00396E15" w:rsidP="00396E15">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690,00</w:t>
            </w:r>
          </w:p>
        </w:tc>
        <w:tc>
          <w:tcPr>
            <w:tcW w:w="1980" w:type="dxa"/>
            <w:tcBorders>
              <w:top w:val="single" w:sz="4" w:space="0" w:color="auto"/>
              <w:left w:val="single" w:sz="4" w:space="0" w:color="auto"/>
              <w:bottom w:val="single" w:sz="4" w:space="0" w:color="auto"/>
              <w:right w:val="single" w:sz="4" w:space="0" w:color="auto"/>
            </w:tcBorders>
          </w:tcPr>
          <w:p w:rsidR="002A5FC2" w:rsidRDefault="002A5FC2">
            <w:pPr>
              <w:spacing w:after="0" w:line="240" w:lineRule="auto"/>
              <w:jc w:val="center"/>
              <w:rPr>
                <w:rFonts w:ascii="Times New Roman" w:eastAsia="Times New Roman" w:hAnsi="Times New Roman"/>
                <w:b/>
                <w:sz w:val="18"/>
                <w:szCs w:val="20"/>
                <w:lang w:eastAsia="pl-PL"/>
              </w:rPr>
            </w:pPr>
          </w:p>
          <w:p w:rsidR="002A5FC2" w:rsidRPr="001013CA" w:rsidRDefault="00170D64">
            <w:pPr>
              <w:spacing w:after="0" w:line="240" w:lineRule="auto"/>
              <w:jc w:val="center"/>
              <w:rPr>
                <w:rFonts w:ascii="Times New Roman" w:eastAsia="Times New Roman" w:hAnsi="Times New Roman"/>
                <w:b/>
                <w:sz w:val="18"/>
                <w:szCs w:val="20"/>
                <w:lang w:eastAsia="pl-PL"/>
              </w:rPr>
            </w:pPr>
            <w:r w:rsidRPr="001013CA">
              <w:rPr>
                <w:rFonts w:ascii="Times New Roman" w:eastAsia="Times New Roman" w:hAnsi="Times New Roman"/>
                <w:b/>
                <w:sz w:val="18"/>
                <w:szCs w:val="20"/>
                <w:lang w:eastAsia="pl-PL"/>
              </w:rPr>
              <w:t>17</w:t>
            </w:r>
            <w:r w:rsidR="00396E15" w:rsidRPr="001013CA">
              <w:rPr>
                <w:rFonts w:ascii="Times New Roman" w:eastAsia="Times New Roman" w:hAnsi="Times New Roman"/>
                <w:b/>
                <w:sz w:val="18"/>
                <w:szCs w:val="20"/>
                <w:lang w:eastAsia="pl-PL"/>
              </w:rPr>
              <w:t xml:space="preserve"> lipca </w:t>
            </w:r>
            <w:r w:rsidR="002A5FC2" w:rsidRPr="001013CA">
              <w:rPr>
                <w:rFonts w:ascii="Times New Roman" w:eastAsia="Times New Roman" w:hAnsi="Times New Roman"/>
                <w:b/>
                <w:sz w:val="18"/>
                <w:szCs w:val="20"/>
                <w:lang w:eastAsia="pl-PL"/>
              </w:rPr>
              <w:t>2015 r.</w:t>
            </w:r>
          </w:p>
          <w:p w:rsidR="002A5FC2" w:rsidRPr="001013CA" w:rsidRDefault="002A5FC2">
            <w:pPr>
              <w:spacing w:after="0" w:line="240" w:lineRule="auto"/>
              <w:jc w:val="center"/>
              <w:rPr>
                <w:rFonts w:ascii="Times New Roman" w:eastAsia="Times New Roman" w:hAnsi="Times New Roman"/>
                <w:b/>
                <w:sz w:val="18"/>
                <w:szCs w:val="18"/>
                <w:vertAlign w:val="superscript"/>
                <w:lang w:eastAsia="pl-PL"/>
              </w:rPr>
            </w:pPr>
            <w:r w:rsidRPr="001013CA">
              <w:rPr>
                <w:rFonts w:ascii="Times New Roman" w:eastAsia="Times New Roman" w:hAnsi="Times New Roman"/>
                <w:b/>
                <w:sz w:val="18"/>
                <w:szCs w:val="20"/>
                <w:lang w:eastAsia="pl-PL"/>
              </w:rPr>
              <w:t>o godz</w:t>
            </w:r>
            <w:r w:rsidRPr="001013CA">
              <w:rPr>
                <w:rFonts w:ascii="Times New Roman" w:eastAsia="Times New Roman" w:hAnsi="Times New Roman"/>
                <w:b/>
                <w:sz w:val="18"/>
                <w:szCs w:val="18"/>
                <w:lang w:eastAsia="pl-PL"/>
              </w:rPr>
              <w:t xml:space="preserve">. 9 </w:t>
            </w:r>
            <w:r w:rsidRPr="001013CA">
              <w:rPr>
                <w:rFonts w:ascii="Times New Roman" w:eastAsia="Times New Roman" w:hAnsi="Times New Roman"/>
                <w:b/>
                <w:sz w:val="18"/>
                <w:szCs w:val="18"/>
                <w:vertAlign w:val="superscript"/>
                <w:lang w:eastAsia="pl-PL"/>
              </w:rPr>
              <w:t>00</w:t>
            </w:r>
          </w:p>
          <w:p w:rsidR="002A5FC2" w:rsidRDefault="002A5FC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2A5FC2" w:rsidRDefault="002A5FC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ul. Wodna 2, pok. Nr 4</w:t>
            </w:r>
          </w:p>
        </w:tc>
      </w:tr>
    </w:tbl>
    <w:p w:rsidR="002A5FC2" w:rsidRDefault="002A5FC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uchwała Nr XLVI /308/09 Rady Gminy Chełmża z dnia 30 października 2009 r.</w:t>
      </w:r>
    </w:p>
    <w:p w:rsidR="002A5FC2" w:rsidRDefault="002A5FC2" w:rsidP="002A5FC2">
      <w:pPr>
        <w:spacing w:after="0" w:line="240" w:lineRule="auto"/>
        <w:jc w:val="both"/>
        <w:rPr>
          <w:rFonts w:ascii="Times New Roman" w:eastAsia="Times New Roman" w:hAnsi="Times New Roman"/>
          <w:sz w:val="20"/>
          <w:szCs w:val="20"/>
          <w:lang w:eastAsia="pl-PL"/>
        </w:rPr>
      </w:pPr>
    </w:p>
    <w:p w:rsidR="002A5FC2" w:rsidRPr="007D4C68" w:rsidRDefault="004313D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Ze względu na brak dostępu </w:t>
      </w:r>
      <w:r w:rsidR="005E2CA7">
        <w:rPr>
          <w:rFonts w:ascii="Times New Roman" w:eastAsia="Times New Roman" w:hAnsi="Times New Roman"/>
          <w:sz w:val="20"/>
          <w:szCs w:val="20"/>
          <w:lang w:eastAsia="pl-PL"/>
        </w:rPr>
        <w:t xml:space="preserve">nieruchomości </w:t>
      </w:r>
      <w:r>
        <w:rPr>
          <w:rFonts w:ascii="Times New Roman" w:eastAsia="Times New Roman" w:hAnsi="Times New Roman"/>
          <w:sz w:val="20"/>
          <w:szCs w:val="20"/>
          <w:lang w:eastAsia="pl-PL"/>
        </w:rPr>
        <w:t xml:space="preserve">do drogi publicznej przetarg jest ograniczony </w:t>
      </w:r>
      <w:r w:rsidR="005E2CA7">
        <w:rPr>
          <w:rFonts w:ascii="Times New Roman" w:eastAsia="Times New Roman" w:hAnsi="Times New Roman"/>
          <w:sz w:val="20"/>
          <w:szCs w:val="20"/>
          <w:lang w:eastAsia="pl-PL"/>
        </w:rPr>
        <w:t>do właścicieli</w:t>
      </w:r>
      <w:r w:rsidR="00224072">
        <w:rPr>
          <w:rFonts w:ascii="Times New Roman" w:eastAsia="Times New Roman" w:hAnsi="Times New Roman"/>
          <w:sz w:val="20"/>
          <w:szCs w:val="20"/>
          <w:lang w:eastAsia="pl-PL"/>
        </w:rPr>
        <w:t>/współwłaścicieli</w:t>
      </w:r>
      <w:r w:rsidR="000F3920">
        <w:rPr>
          <w:rFonts w:ascii="Times New Roman" w:eastAsia="Times New Roman" w:hAnsi="Times New Roman"/>
          <w:sz w:val="20"/>
          <w:szCs w:val="20"/>
          <w:lang w:eastAsia="pl-PL"/>
        </w:rPr>
        <w:t xml:space="preserve"> </w:t>
      </w:r>
      <w:r w:rsidR="005E2CA7">
        <w:rPr>
          <w:rFonts w:ascii="Times New Roman" w:eastAsia="Times New Roman" w:hAnsi="Times New Roman"/>
          <w:sz w:val="20"/>
          <w:szCs w:val="20"/>
          <w:lang w:eastAsia="pl-PL"/>
        </w:rPr>
        <w:t xml:space="preserve">nieruchomości sąsiednich. </w:t>
      </w:r>
      <w:r w:rsidR="002A5FC2" w:rsidRPr="002A5FC2">
        <w:rPr>
          <w:rFonts w:ascii="Times New Roman" w:eastAsia="Times New Roman" w:hAnsi="Times New Roman"/>
          <w:sz w:val="20"/>
          <w:szCs w:val="20"/>
          <w:lang w:eastAsia="pl-PL"/>
        </w:rPr>
        <w:t xml:space="preserve">Osoby zamierzające uczestniczyć w przetargu powinny do </w:t>
      </w:r>
      <w:r w:rsidR="002A5FC2" w:rsidRPr="001013CA">
        <w:rPr>
          <w:rFonts w:ascii="Times New Roman" w:eastAsia="Times New Roman" w:hAnsi="Times New Roman"/>
          <w:sz w:val="20"/>
          <w:szCs w:val="20"/>
          <w:lang w:eastAsia="pl-PL"/>
        </w:rPr>
        <w:t xml:space="preserve">dnia </w:t>
      </w:r>
      <w:r w:rsidR="00ED66C5" w:rsidRPr="001013CA">
        <w:rPr>
          <w:rFonts w:ascii="Times New Roman" w:eastAsia="Times New Roman" w:hAnsi="Times New Roman"/>
          <w:sz w:val="20"/>
          <w:szCs w:val="20"/>
          <w:lang w:eastAsia="pl-PL"/>
        </w:rPr>
        <w:t>10</w:t>
      </w:r>
      <w:r w:rsidR="00B80BD2" w:rsidRPr="001013CA">
        <w:rPr>
          <w:rFonts w:ascii="Times New Roman" w:eastAsia="Times New Roman" w:hAnsi="Times New Roman"/>
          <w:sz w:val="20"/>
          <w:szCs w:val="20"/>
          <w:lang w:eastAsia="pl-PL"/>
        </w:rPr>
        <w:t xml:space="preserve">.07.2015 </w:t>
      </w:r>
      <w:r w:rsidR="002A5FC2" w:rsidRPr="001013CA">
        <w:rPr>
          <w:rFonts w:ascii="Times New Roman" w:eastAsia="Times New Roman" w:hAnsi="Times New Roman"/>
          <w:sz w:val="20"/>
          <w:szCs w:val="20"/>
          <w:lang w:eastAsia="pl-PL"/>
        </w:rPr>
        <w:t xml:space="preserve">r. zgłosić </w:t>
      </w:r>
      <w:r w:rsidR="002A5FC2" w:rsidRPr="002A5FC2">
        <w:rPr>
          <w:rFonts w:ascii="Times New Roman" w:eastAsia="Times New Roman" w:hAnsi="Times New Roman"/>
          <w:sz w:val="20"/>
          <w:szCs w:val="20"/>
          <w:lang w:eastAsia="pl-PL"/>
        </w:rPr>
        <w:t>swoje uczestnictwo poprzez złożenie pisemnego zgłoszenia w Urzędzie Gminy Chełmża</w:t>
      </w:r>
      <w:r w:rsidR="002A5FC2" w:rsidRPr="007D4C68">
        <w:rPr>
          <w:rFonts w:ascii="Times New Roman" w:eastAsia="Times New Roman" w:hAnsi="Times New Roman"/>
          <w:sz w:val="20"/>
          <w:szCs w:val="20"/>
          <w:lang w:eastAsia="pl-PL"/>
        </w:rPr>
        <w:t>.</w:t>
      </w:r>
      <w:r w:rsidR="000F3920" w:rsidRPr="007D4C68">
        <w:rPr>
          <w:rFonts w:ascii="Times New Roman" w:eastAsia="Times New Roman" w:hAnsi="Times New Roman"/>
          <w:sz w:val="20"/>
          <w:szCs w:val="20"/>
          <w:lang w:eastAsia="pl-PL"/>
        </w:rPr>
        <w:t xml:space="preserve"> W przypadku </w:t>
      </w:r>
      <w:r w:rsidR="00D27336" w:rsidRPr="007D4C68">
        <w:rPr>
          <w:rFonts w:ascii="Times New Roman" w:eastAsia="Times New Roman" w:hAnsi="Times New Roman"/>
          <w:sz w:val="20"/>
          <w:szCs w:val="20"/>
          <w:lang w:eastAsia="pl-PL"/>
        </w:rPr>
        <w:t xml:space="preserve">jeżeli </w:t>
      </w:r>
      <w:r w:rsidR="00303119" w:rsidRPr="007D4C68">
        <w:rPr>
          <w:rFonts w:ascii="Times New Roman" w:eastAsia="Times New Roman" w:hAnsi="Times New Roman"/>
          <w:sz w:val="20"/>
          <w:szCs w:val="20"/>
          <w:lang w:eastAsia="pl-PL"/>
        </w:rPr>
        <w:t>nieruchomoś</w:t>
      </w:r>
      <w:r w:rsidR="00D27336" w:rsidRPr="007D4C68">
        <w:rPr>
          <w:rFonts w:ascii="Times New Roman" w:eastAsia="Times New Roman" w:hAnsi="Times New Roman"/>
          <w:sz w:val="20"/>
          <w:szCs w:val="20"/>
          <w:lang w:eastAsia="pl-PL"/>
        </w:rPr>
        <w:t>ć</w:t>
      </w:r>
      <w:r w:rsidR="00303119" w:rsidRPr="007D4C68">
        <w:rPr>
          <w:rFonts w:ascii="Times New Roman" w:eastAsia="Times New Roman" w:hAnsi="Times New Roman"/>
          <w:sz w:val="20"/>
          <w:szCs w:val="20"/>
          <w:lang w:eastAsia="pl-PL"/>
        </w:rPr>
        <w:t xml:space="preserve"> sąsiedni</w:t>
      </w:r>
      <w:r w:rsidR="00D27336" w:rsidRPr="007D4C68">
        <w:rPr>
          <w:rFonts w:ascii="Times New Roman" w:eastAsia="Times New Roman" w:hAnsi="Times New Roman"/>
          <w:sz w:val="20"/>
          <w:szCs w:val="20"/>
          <w:lang w:eastAsia="pl-PL"/>
        </w:rPr>
        <w:t>a stanowi przedmiot współwłasności</w:t>
      </w:r>
      <w:r w:rsidR="00303119" w:rsidRPr="007D4C68">
        <w:rPr>
          <w:rFonts w:ascii="Times New Roman" w:eastAsia="Times New Roman" w:hAnsi="Times New Roman"/>
          <w:sz w:val="20"/>
          <w:szCs w:val="20"/>
          <w:lang w:eastAsia="pl-PL"/>
        </w:rPr>
        <w:t xml:space="preserve">, </w:t>
      </w:r>
      <w:r w:rsidR="00183409" w:rsidRPr="007D4C68">
        <w:rPr>
          <w:rFonts w:ascii="Times New Roman" w:eastAsia="Times New Roman" w:hAnsi="Times New Roman"/>
          <w:sz w:val="20"/>
          <w:szCs w:val="20"/>
          <w:lang w:eastAsia="pl-PL"/>
        </w:rPr>
        <w:t xml:space="preserve">skuteczne </w:t>
      </w:r>
      <w:r w:rsidR="00303119" w:rsidRPr="007D4C68">
        <w:rPr>
          <w:rFonts w:ascii="Times New Roman" w:eastAsia="Times New Roman" w:hAnsi="Times New Roman"/>
          <w:sz w:val="20"/>
          <w:szCs w:val="20"/>
          <w:lang w:eastAsia="pl-PL"/>
        </w:rPr>
        <w:t>zgłoszeni</w:t>
      </w:r>
      <w:r w:rsidR="00183409" w:rsidRPr="007D4C68">
        <w:rPr>
          <w:rFonts w:ascii="Times New Roman" w:eastAsia="Times New Roman" w:hAnsi="Times New Roman"/>
          <w:sz w:val="20"/>
          <w:szCs w:val="20"/>
          <w:lang w:eastAsia="pl-PL"/>
        </w:rPr>
        <w:t>e</w:t>
      </w:r>
      <w:r w:rsidR="00303119" w:rsidRPr="007D4C68">
        <w:rPr>
          <w:rFonts w:ascii="Times New Roman" w:eastAsia="Times New Roman" w:hAnsi="Times New Roman"/>
          <w:sz w:val="20"/>
          <w:szCs w:val="20"/>
          <w:lang w:eastAsia="pl-PL"/>
        </w:rPr>
        <w:t xml:space="preserve"> uczestnictwa w przetargu </w:t>
      </w:r>
      <w:r w:rsidR="00183409" w:rsidRPr="007D4C68">
        <w:rPr>
          <w:rFonts w:ascii="Times New Roman" w:eastAsia="Times New Roman" w:hAnsi="Times New Roman"/>
          <w:sz w:val="20"/>
          <w:szCs w:val="20"/>
          <w:lang w:eastAsia="pl-PL"/>
        </w:rPr>
        <w:t>może nastąpić tylko przez wszystkich współwłaścicieli.</w:t>
      </w:r>
      <w:r w:rsidR="000F3920" w:rsidRPr="007D4C68">
        <w:rPr>
          <w:rFonts w:ascii="Times New Roman" w:eastAsia="Times New Roman" w:hAnsi="Times New Roman"/>
          <w:sz w:val="20"/>
          <w:szCs w:val="20"/>
          <w:lang w:eastAsia="pl-PL"/>
        </w:rPr>
        <w:t xml:space="preserve"> </w:t>
      </w:r>
    </w:p>
    <w:p w:rsidR="002A5FC2" w:rsidRDefault="002A5FC2" w:rsidP="002A5F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W przetargu ustalone zostało</w:t>
      </w:r>
      <w:r>
        <w:rPr>
          <w:rFonts w:ascii="Times New Roman" w:eastAsia="Times New Roman" w:hAnsi="Times New Roman"/>
          <w:b/>
          <w:sz w:val="20"/>
          <w:szCs w:val="20"/>
          <w:lang w:eastAsia="pl-PL"/>
        </w:rPr>
        <w:t xml:space="preserve"> wadium w wysokości 10% ceny wywoławczej,</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2A5FC2" w:rsidRDefault="002A5FC2" w:rsidP="002A5F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Wadium należy wnieść w pieniądzu.</w:t>
      </w:r>
    </w:p>
    <w:p w:rsidR="002A5FC2" w:rsidRDefault="002A5FC2" w:rsidP="002A5F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2A5FC2" w:rsidRDefault="002A5FC2" w:rsidP="002A5FC2">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Nieruchomość objęta przetargiem wolna jest od jakichkolwiek obciążeń. Sprzedaż następuje na podstawie  ustawy z dnia 21 sierpnia 1997 r. o gospodarce nieruchomościami.</w:t>
      </w:r>
    </w:p>
    <w:p w:rsidR="002A5FC2" w:rsidRDefault="002A5FC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Nabywca </w:t>
      </w:r>
      <w:r w:rsidR="00531FEB">
        <w:rPr>
          <w:rFonts w:ascii="Times New Roman" w:eastAsia="Times New Roman" w:hAnsi="Times New Roman"/>
          <w:sz w:val="20"/>
          <w:szCs w:val="20"/>
          <w:lang w:eastAsia="pl-PL"/>
        </w:rPr>
        <w:t xml:space="preserve">zwraca również </w:t>
      </w:r>
      <w:r>
        <w:rPr>
          <w:rFonts w:ascii="Times New Roman" w:eastAsia="Times New Roman" w:hAnsi="Times New Roman"/>
          <w:sz w:val="20"/>
          <w:szCs w:val="20"/>
          <w:lang w:eastAsia="pl-PL"/>
        </w:rPr>
        <w:t>koszt</w:t>
      </w:r>
      <w:r w:rsidR="00531FEB">
        <w:rPr>
          <w:rFonts w:ascii="Times New Roman" w:eastAsia="Times New Roman" w:hAnsi="Times New Roman"/>
          <w:sz w:val="20"/>
          <w:szCs w:val="20"/>
          <w:lang w:eastAsia="pl-PL"/>
        </w:rPr>
        <w:t>y</w:t>
      </w:r>
      <w:r>
        <w:rPr>
          <w:rFonts w:ascii="Times New Roman" w:eastAsia="Times New Roman" w:hAnsi="Times New Roman"/>
          <w:sz w:val="20"/>
          <w:szCs w:val="20"/>
          <w:lang w:eastAsia="pl-PL"/>
        </w:rPr>
        <w:t xml:space="preserve"> przygotowania nieruchomości do sprzedaży (koszt </w:t>
      </w:r>
      <w:r w:rsidR="00B80BD2">
        <w:rPr>
          <w:rFonts w:ascii="Times New Roman" w:eastAsia="Times New Roman" w:hAnsi="Times New Roman"/>
          <w:sz w:val="20"/>
          <w:szCs w:val="20"/>
          <w:lang w:eastAsia="pl-PL"/>
        </w:rPr>
        <w:t xml:space="preserve">podziału geodezyjnego, </w:t>
      </w:r>
      <w:r>
        <w:rPr>
          <w:rFonts w:ascii="Times New Roman" w:eastAsia="Times New Roman" w:hAnsi="Times New Roman"/>
          <w:sz w:val="20"/>
          <w:szCs w:val="20"/>
          <w:lang w:eastAsia="pl-PL"/>
        </w:rPr>
        <w:t xml:space="preserve">sporządzenia operatu szacunkowego, ogłoszenia w prasie, dokumentów </w:t>
      </w:r>
      <w:proofErr w:type="spellStart"/>
      <w:r>
        <w:rPr>
          <w:rFonts w:ascii="Times New Roman" w:eastAsia="Times New Roman" w:hAnsi="Times New Roman"/>
          <w:sz w:val="20"/>
          <w:szCs w:val="20"/>
          <w:lang w:eastAsia="pl-PL"/>
        </w:rPr>
        <w:t>przewłaszczeniowych</w:t>
      </w:r>
      <w:proofErr w:type="spellEnd"/>
      <w:r>
        <w:rPr>
          <w:rFonts w:ascii="Times New Roman" w:eastAsia="Times New Roman" w:hAnsi="Times New Roman"/>
          <w:sz w:val="20"/>
          <w:szCs w:val="20"/>
          <w:lang w:eastAsia="pl-PL"/>
        </w:rPr>
        <w:t xml:space="preserve">). Ponadto kupujący ponosi koszty  zawarcia aktu notarialnego oraz wpisu własności do księgi wieczystej. </w:t>
      </w:r>
    </w:p>
    <w:p w:rsidR="002A5FC2" w:rsidRDefault="002A5FC2" w:rsidP="002A5F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Postępowanie przetargowe jest ważne bez względu na liczbę uczestników, jeżeli chociaż jeden uczestnik zaoferował co najmniej jedno postąpienie powyżej ceny wywoławczej.</w:t>
      </w:r>
    </w:p>
    <w:p w:rsidR="002A5FC2" w:rsidRPr="007D4C68" w:rsidRDefault="002A5FC2" w:rsidP="002A5FC2">
      <w:pPr>
        <w:spacing w:after="0" w:line="240" w:lineRule="auto"/>
        <w:jc w:val="both"/>
        <w:rPr>
          <w:rFonts w:ascii="Times New Roman" w:eastAsia="Times New Roman" w:hAnsi="Times New Roman"/>
          <w:sz w:val="20"/>
          <w:szCs w:val="20"/>
          <w:lang w:eastAsia="pl-PL"/>
        </w:rPr>
      </w:pPr>
      <w:r w:rsidRPr="007D4C68">
        <w:rPr>
          <w:rFonts w:ascii="Times New Roman" w:eastAsia="Times New Roman" w:hAnsi="Times New Roman"/>
          <w:sz w:val="20"/>
          <w:szCs w:val="20"/>
          <w:lang w:eastAsia="pl-PL"/>
        </w:rPr>
        <w:t xml:space="preserve">W przetargu mogą wziąć udział </w:t>
      </w:r>
      <w:r w:rsidR="00224072" w:rsidRPr="007D4C68">
        <w:rPr>
          <w:rFonts w:ascii="Times New Roman" w:eastAsia="Times New Roman" w:hAnsi="Times New Roman"/>
          <w:sz w:val="20"/>
          <w:szCs w:val="20"/>
          <w:lang w:eastAsia="pl-PL"/>
        </w:rPr>
        <w:t>właściciele/współwłaściciele nieruchomości sąsiednich</w:t>
      </w:r>
      <w:r w:rsidRPr="007D4C68">
        <w:rPr>
          <w:rFonts w:ascii="Times New Roman" w:eastAsia="Times New Roman" w:hAnsi="Times New Roman"/>
          <w:sz w:val="20"/>
          <w:szCs w:val="20"/>
          <w:lang w:eastAsia="pl-PL"/>
        </w:rPr>
        <w:t xml:space="preserve">, jeżeli wpłacą wadium w </w:t>
      </w:r>
      <w:r w:rsidR="00531FEB" w:rsidRPr="007D4C68">
        <w:rPr>
          <w:rFonts w:ascii="Times New Roman" w:eastAsia="Times New Roman" w:hAnsi="Times New Roman"/>
          <w:sz w:val="20"/>
          <w:szCs w:val="20"/>
          <w:lang w:eastAsia="pl-PL"/>
        </w:rPr>
        <w:t xml:space="preserve">wyznaczonym </w:t>
      </w:r>
      <w:r w:rsidRPr="007D4C68">
        <w:rPr>
          <w:rFonts w:ascii="Times New Roman" w:eastAsia="Times New Roman" w:hAnsi="Times New Roman"/>
          <w:sz w:val="20"/>
          <w:szCs w:val="20"/>
          <w:lang w:eastAsia="pl-PL"/>
        </w:rPr>
        <w:t xml:space="preserve">terminie. </w:t>
      </w:r>
    </w:p>
    <w:p w:rsidR="002A5FC2" w:rsidRDefault="002A5FC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wymagane jest przed przystąpieniem do licytacji złożenie komisji przeprowadzającej przetarg</w:t>
      </w:r>
      <w:r w:rsidR="00A22E8D">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pisemnego pełnomocnictwa drugiego współmałżonka </w:t>
      </w:r>
      <w:r>
        <w:rPr>
          <w:rFonts w:ascii="Times New Roman" w:eastAsia="Times New Roman" w:hAnsi="Times New Roman"/>
          <w:sz w:val="20"/>
          <w:szCs w:val="20"/>
          <w:lang w:eastAsia="pl-PL"/>
        </w:rPr>
        <w:lastRenderedPageBreak/>
        <w:t>upoważniającego do licytacji ceny nabycia nieruchomości lub złożenie oświadczenia, że nieruchomość będzie nabywana z majątku odrębnego współmałżonka biorącego udział w licytacji.</w:t>
      </w:r>
    </w:p>
    <w:p w:rsidR="002A5FC2" w:rsidRDefault="002A5FC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uczestnik licytacji jest reprezentowany przez pełnomocnika wymagane jest przedłożenie przez niego notarialnego pełnomocnictwa do licytacji nabycia oznaczonej w pełnomocnictwie nieruchomości. </w:t>
      </w:r>
    </w:p>
    <w:p w:rsidR="002A5FC2" w:rsidRDefault="002A5FC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Nabycie nieruchomości przez cudzoziemca wymaga zezwolenia. Zezwolenie wydawane jest przez Ministra  Spraw Wewnętrznych i Administracji na podstawie przepisów ustawy z 24 marca 1920 r. o nabywaniu  nieruchomości przez cudzoziemców. </w:t>
      </w:r>
    </w:p>
    <w:p w:rsidR="002A5FC2" w:rsidRDefault="002A5FC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color w:val="000000"/>
          <w:sz w:val="20"/>
          <w:szCs w:val="20"/>
          <w:lang w:eastAsia="pl-PL"/>
        </w:rPr>
        <w:t>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w:t>
      </w:r>
      <w:r>
        <w:rPr>
          <w:rFonts w:ascii="Times New Roman" w:eastAsia="Times New Roman" w:hAnsi="Times New Roman"/>
          <w:sz w:val="20"/>
          <w:szCs w:val="20"/>
          <w:lang w:eastAsia="pl-PL"/>
        </w:rPr>
        <w:t xml:space="preserve"> </w:t>
      </w:r>
    </w:p>
    <w:p w:rsidR="002A5FC2" w:rsidRDefault="002A5FC2" w:rsidP="002A5F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2A5FC2" w:rsidRDefault="002A5FC2" w:rsidP="002A5FC2">
      <w:pPr>
        <w:spacing w:after="0" w:line="24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Zastrzega się prawo unieważnienia przetargu bez podania przyczyny.</w:t>
      </w:r>
    </w:p>
    <w:p w:rsidR="002A5FC2" w:rsidRDefault="002A5FC2" w:rsidP="002A5FC2">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color w:val="000000"/>
          <w:sz w:val="20"/>
          <w:szCs w:val="20"/>
          <w:lang w:eastAsia="pl-PL"/>
        </w:rPr>
        <w:t xml:space="preserve">Szczegółowe informacje o sprzedaży niezabudowanej nieruchomości  można uzyskać w </w:t>
      </w:r>
      <w:r>
        <w:rPr>
          <w:rFonts w:ascii="Times New Roman" w:eastAsia="Times New Roman" w:hAnsi="Times New Roman"/>
          <w:b/>
          <w:color w:val="000000"/>
          <w:sz w:val="20"/>
          <w:szCs w:val="20"/>
          <w:lang w:eastAsia="pl-PL"/>
        </w:rPr>
        <w:t xml:space="preserve">Urzędzie Gminy Chełmża, ul. Wodna 2, tel. 56  675-60-76 lub 77, wew. 37 </w:t>
      </w:r>
      <w:r>
        <w:rPr>
          <w:rFonts w:ascii="Times New Roman" w:eastAsia="Times New Roman" w:hAnsi="Times New Roman"/>
          <w:b/>
          <w:sz w:val="20"/>
          <w:szCs w:val="20"/>
          <w:lang w:eastAsia="pl-PL"/>
        </w:rPr>
        <w:t xml:space="preserve">lub na stronie internetowej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2A5FC2" w:rsidRDefault="002A5FC2" w:rsidP="002A5FC2">
      <w:pPr>
        <w:spacing w:after="0" w:line="240" w:lineRule="auto"/>
        <w:jc w:val="both"/>
        <w:rPr>
          <w:rFonts w:ascii="Times New Roman" w:eastAsia="Times New Roman" w:hAnsi="Times New Roman"/>
          <w:b/>
          <w:color w:val="000000"/>
          <w:sz w:val="20"/>
          <w:szCs w:val="20"/>
          <w:lang w:eastAsia="pl-PL"/>
        </w:rPr>
      </w:pPr>
    </w:p>
    <w:p w:rsidR="002A5FC2" w:rsidRDefault="002A5FC2" w:rsidP="002A5FC2">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Chełmża, </w:t>
      </w:r>
      <w:r w:rsidR="00795F9D">
        <w:rPr>
          <w:rFonts w:ascii="Times New Roman" w:eastAsia="Times New Roman" w:hAnsi="Times New Roman"/>
          <w:color w:val="000000"/>
          <w:sz w:val="20"/>
          <w:szCs w:val="20"/>
          <w:lang w:eastAsia="pl-PL"/>
        </w:rPr>
        <w:t>10.</w:t>
      </w:r>
      <w:bookmarkStart w:id="0" w:name="_GoBack"/>
      <w:bookmarkEnd w:id="0"/>
      <w:r w:rsidR="00FE603A">
        <w:rPr>
          <w:rFonts w:ascii="Times New Roman" w:eastAsia="Times New Roman" w:hAnsi="Times New Roman"/>
          <w:color w:val="000000"/>
          <w:sz w:val="20"/>
          <w:szCs w:val="20"/>
          <w:lang w:eastAsia="pl-PL"/>
        </w:rPr>
        <w:t>06.</w:t>
      </w:r>
      <w:r>
        <w:rPr>
          <w:rFonts w:ascii="Times New Roman" w:eastAsia="Times New Roman" w:hAnsi="Times New Roman"/>
          <w:color w:val="000000"/>
          <w:sz w:val="20"/>
          <w:szCs w:val="20"/>
          <w:lang w:eastAsia="pl-PL"/>
        </w:rPr>
        <w:t>2015 r.</w:t>
      </w:r>
    </w:p>
    <w:p w:rsidR="002A5FC2" w:rsidRDefault="002A5FC2" w:rsidP="002A5FC2">
      <w:pPr>
        <w:spacing w:after="0" w:line="240" w:lineRule="auto"/>
        <w:jc w:val="both"/>
        <w:rPr>
          <w:rFonts w:ascii="Times New Roman" w:eastAsia="Times New Roman" w:hAnsi="Times New Roman"/>
          <w:color w:val="000000"/>
          <w:sz w:val="20"/>
          <w:szCs w:val="20"/>
          <w:lang w:eastAsia="pl-PL"/>
        </w:rPr>
      </w:pPr>
    </w:p>
    <w:p w:rsidR="002A5FC2" w:rsidRDefault="002A5FC2" w:rsidP="002A5FC2">
      <w:pPr>
        <w:spacing w:after="0" w:line="240" w:lineRule="auto"/>
        <w:jc w:val="both"/>
        <w:rPr>
          <w:rFonts w:ascii="Times New Roman" w:eastAsia="Times New Roman" w:hAnsi="Times New Roman"/>
          <w:color w:val="000000"/>
          <w:sz w:val="20"/>
          <w:szCs w:val="20"/>
          <w:lang w:eastAsia="pl-PL"/>
        </w:rPr>
      </w:pPr>
    </w:p>
    <w:p w:rsidR="002A5FC2" w:rsidRDefault="002A5FC2" w:rsidP="002A5FC2">
      <w:pPr>
        <w:spacing w:after="0" w:line="240" w:lineRule="auto"/>
        <w:rPr>
          <w:rFonts w:ascii="Times New Roman" w:eastAsia="Times New Roman" w:hAnsi="Times New Roman"/>
          <w:sz w:val="24"/>
          <w:szCs w:val="20"/>
          <w:lang w:eastAsia="pl-PL"/>
        </w:rPr>
      </w:pPr>
      <w:r>
        <w:rPr>
          <w:rFonts w:ascii="Times New Roman" w:eastAsia="Times New Roman" w:hAnsi="Times New Roman"/>
          <w:b/>
          <w:color w:val="000000"/>
          <w:sz w:val="20"/>
          <w:szCs w:val="20"/>
          <w:lang w:eastAsia="pl-PL"/>
        </w:rPr>
        <w:t xml:space="preserve"> </w:t>
      </w:r>
    </w:p>
    <w:p w:rsidR="002A5FC2" w:rsidRDefault="002A5FC2" w:rsidP="002A5FC2">
      <w:pPr>
        <w:spacing w:after="0" w:line="240" w:lineRule="auto"/>
        <w:rPr>
          <w:rFonts w:ascii="Times New Roman" w:eastAsia="Times New Roman" w:hAnsi="Times New Roman"/>
          <w:sz w:val="24"/>
          <w:szCs w:val="20"/>
          <w:lang w:eastAsia="pl-PL"/>
        </w:rPr>
      </w:pPr>
    </w:p>
    <w:p w:rsidR="002A5FC2" w:rsidRDefault="002A5FC2" w:rsidP="002A5FC2"/>
    <w:p w:rsidR="002A5FC2" w:rsidRDefault="002A5FC2" w:rsidP="002A5FC2"/>
    <w:p w:rsidR="00B738A0" w:rsidRDefault="00B738A0"/>
    <w:sectPr w:rsidR="00B738A0" w:rsidSect="00284725">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F9" w:rsidRDefault="007837F9" w:rsidP="00284725">
      <w:pPr>
        <w:spacing w:after="0" w:line="240" w:lineRule="auto"/>
      </w:pPr>
      <w:r>
        <w:separator/>
      </w:r>
    </w:p>
  </w:endnote>
  <w:endnote w:type="continuationSeparator" w:id="0">
    <w:p w:rsidR="007837F9" w:rsidRDefault="007837F9" w:rsidP="0028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F9" w:rsidRDefault="007837F9" w:rsidP="00284725">
      <w:pPr>
        <w:spacing w:after="0" w:line="240" w:lineRule="auto"/>
      </w:pPr>
      <w:r>
        <w:separator/>
      </w:r>
    </w:p>
  </w:footnote>
  <w:footnote w:type="continuationSeparator" w:id="0">
    <w:p w:rsidR="007837F9" w:rsidRDefault="007837F9" w:rsidP="00284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267101"/>
      <w:docPartObj>
        <w:docPartGallery w:val="Page Numbers (Top of Page)"/>
        <w:docPartUnique/>
      </w:docPartObj>
    </w:sdtPr>
    <w:sdtEndPr/>
    <w:sdtContent>
      <w:p w:rsidR="00284725" w:rsidRDefault="00284725">
        <w:pPr>
          <w:pStyle w:val="Nagwek"/>
          <w:jc w:val="center"/>
        </w:pPr>
        <w:r>
          <w:fldChar w:fldCharType="begin"/>
        </w:r>
        <w:r>
          <w:instrText>PAGE   \* MERGEFORMAT</w:instrText>
        </w:r>
        <w:r>
          <w:fldChar w:fldCharType="separate"/>
        </w:r>
        <w:r w:rsidR="00795F9D">
          <w:rPr>
            <w:noProof/>
          </w:rPr>
          <w:t>2</w:t>
        </w:r>
        <w:r>
          <w:fldChar w:fldCharType="end"/>
        </w:r>
      </w:p>
    </w:sdtContent>
  </w:sdt>
  <w:p w:rsidR="00284725" w:rsidRDefault="0028472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C2"/>
    <w:rsid w:val="000314E5"/>
    <w:rsid w:val="000F3920"/>
    <w:rsid w:val="001013CA"/>
    <w:rsid w:val="00170D64"/>
    <w:rsid w:val="00175ECA"/>
    <w:rsid w:val="00183409"/>
    <w:rsid w:val="00224072"/>
    <w:rsid w:val="00284725"/>
    <w:rsid w:val="002A5FC2"/>
    <w:rsid w:val="00300513"/>
    <w:rsid w:val="00303119"/>
    <w:rsid w:val="003427B1"/>
    <w:rsid w:val="00396E15"/>
    <w:rsid w:val="004313D2"/>
    <w:rsid w:val="004B0F42"/>
    <w:rsid w:val="00531FEB"/>
    <w:rsid w:val="005E2CA7"/>
    <w:rsid w:val="006E56D8"/>
    <w:rsid w:val="00722902"/>
    <w:rsid w:val="007837F9"/>
    <w:rsid w:val="00795F9D"/>
    <w:rsid w:val="007C060A"/>
    <w:rsid w:val="007D4C68"/>
    <w:rsid w:val="008C4ADD"/>
    <w:rsid w:val="00A22E8D"/>
    <w:rsid w:val="00B738A0"/>
    <w:rsid w:val="00B80BD2"/>
    <w:rsid w:val="00D27336"/>
    <w:rsid w:val="00E03945"/>
    <w:rsid w:val="00E54588"/>
    <w:rsid w:val="00ED66C5"/>
    <w:rsid w:val="00F2233D"/>
    <w:rsid w:val="00FE6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F9681-B19D-4755-80D1-A32C8406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FC2"/>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47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725"/>
    <w:rPr>
      <w:rFonts w:ascii="Calibri" w:eastAsia="Calibri" w:hAnsi="Calibri" w:cs="Times New Roman"/>
    </w:rPr>
  </w:style>
  <w:style w:type="paragraph" w:styleId="Stopka">
    <w:name w:val="footer"/>
    <w:basedOn w:val="Normalny"/>
    <w:link w:val="StopkaZnak"/>
    <w:uiPriority w:val="99"/>
    <w:unhideWhenUsed/>
    <w:rsid w:val="002847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725"/>
    <w:rPr>
      <w:rFonts w:ascii="Calibri" w:eastAsia="Calibri" w:hAnsi="Calibri" w:cs="Times New Roman"/>
    </w:rPr>
  </w:style>
  <w:style w:type="paragraph" w:styleId="Tekstdymka">
    <w:name w:val="Balloon Text"/>
    <w:basedOn w:val="Normalny"/>
    <w:link w:val="TekstdymkaZnak"/>
    <w:uiPriority w:val="99"/>
    <w:semiHidden/>
    <w:unhideWhenUsed/>
    <w:rsid w:val="007C06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6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727</Words>
  <Characters>4364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2015-06-10T09:06:00Z</dcterms:created>
  <dcterms:modified xsi:type="dcterms:W3CDTF">2015-06-11T08:49:00Z</dcterms:modified>
</cp:coreProperties>
</file>