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BE7748" w:rsidP="00D41448">
      <w:pPr>
        <w:jc w:val="center"/>
        <w:outlineLvl w:val="0"/>
        <w:rPr>
          <w:b/>
        </w:rPr>
      </w:pPr>
      <w:r>
        <w:rPr>
          <w:b/>
        </w:rPr>
        <w:t>ZARZĄDZENIE  Nr</w:t>
      </w:r>
      <w:r w:rsidR="00B345F1">
        <w:rPr>
          <w:b/>
        </w:rPr>
        <w:t xml:space="preserve"> </w:t>
      </w:r>
      <w:r w:rsidR="003656A7">
        <w:rPr>
          <w:b/>
        </w:rPr>
        <w:t>55</w:t>
      </w:r>
      <w:r w:rsidR="008B4EFB">
        <w:rPr>
          <w:b/>
        </w:rPr>
        <w:t>/15</w:t>
      </w:r>
    </w:p>
    <w:p w:rsidR="00944116" w:rsidRDefault="00D41448" w:rsidP="00944116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Pr="00944116" w:rsidRDefault="006E20F0" w:rsidP="00944116">
      <w:pPr>
        <w:jc w:val="center"/>
        <w:outlineLvl w:val="0"/>
        <w:rPr>
          <w:b/>
          <w:bCs/>
        </w:rPr>
      </w:pPr>
      <w:r w:rsidRPr="00944116">
        <w:rPr>
          <w:b/>
          <w:bCs/>
        </w:rPr>
        <w:t xml:space="preserve">z dnia </w:t>
      </w:r>
      <w:r w:rsidR="003656A7">
        <w:rPr>
          <w:b/>
          <w:bCs/>
        </w:rPr>
        <w:t>26</w:t>
      </w:r>
      <w:r w:rsidR="00457F29">
        <w:rPr>
          <w:b/>
          <w:bCs/>
        </w:rPr>
        <w:t xml:space="preserve"> </w:t>
      </w:r>
      <w:r w:rsidR="003656A7">
        <w:rPr>
          <w:b/>
          <w:bCs/>
        </w:rPr>
        <w:t>maja</w:t>
      </w:r>
      <w:r w:rsidR="00893B3F" w:rsidRPr="00944116">
        <w:rPr>
          <w:b/>
          <w:bCs/>
        </w:rPr>
        <w:t xml:space="preserve"> </w:t>
      </w:r>
      <w:r w:rsidR="00D41448" w:rsidRPr="00944116">
        <w:rPr>
          <w:b/>
          <w:bCs/>
        </w:rPr>
        <w:t>201</w:t>
      </w:r>
      <w:r w:rsidR="00CA1014">
        <w:rPr>
          <w:b/>
          <w:bCs/>
        </w:rPr>
        <w:t>5</w:t>
      </w:r>
      <w:r w:rsidR="00D41448" w:rsidRPr="00944116">
        <w:rPr>
          <w:b/>
          <w:bCs/>
        </w:rPr>
        <w:t xml:space="preserve"> r.</w:t>
      </w:r>
    </w:p>
    <w:p w:rsidR="00944116" w:rsidRDefault="00944116" w:rsidP="00944116">
      <w:pPr>
        <w:jc w:val="center"/>
        <w:outlineLvl w:val="0"/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CA1014">
        <w:rPr>
          <w:b/>
        </w:rPr>
        <w:t>5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</w:t>
      </w:r>
      <w:r w:rsidR="00BF5D36">
        <w:t xml:space="preserve"> z </w:t>
      </w:r>
      <w:proofErr w:type="spellStart"/>
      <w:r w:rsidR="00BF5D36">
        <w:t>późn</w:t>
      </w:r>
      <w:proofErr w:type="spellEnd"/>
      <w:r w:rsidR="00BF5D36">
        <w:t>. zm.</w:t>
      </w:r>
      <w:r w:rsidR="00C53E60">
        <w:t>)</w:t>
      </w:r>
      <w:r w:rsidR="003D7D37" w:rsidRPr="003D7D37">
        <w:t xml:space="preserve"> </w:t>
      </w:r>
      <w:r w:rsidR="003D7D37">
        <w:t>art. 222 ust. 4,</w:t>
      </w:r>
      <w:r>
        <w:t xml:space="preserve"> art. 257</w:t>
      </w:r>
      <w:r w:rsidR="00BF5D36">
        <w:t xml:space="preserve"> </w:t>
      </w:r>
      <w:proofErr w:type="spellStart"/>
      <w:r w:rsidR="00BF5D36">
        <w:t>pkt</w:t>
      </w:r>
      <w:proofErr w:type="spellEnd"/>
      <w:r w:rsidR="003D7D37">
        <w:t xml:space="preserve"> 1 i 3 i</w:t>
      </w:r>
      <w:r w:rsidR="00BF5D36">
        <w:t xml:space="preserve"> art.258  </w:t>
      </w:r>
      <w:r>
        <w:t>ustawy z dnia 27 sierpnia 2009 r. o finansach publicznych (</w:t>
      </w:r>
      <w:proofErr w:type="spellStart"/>
      <w:r>
        <w:t>Dz.U</w:t>
      </w:r>
      <w:proofErr w:type="spellEnd"/>
      <w:r>
        <w:t>. z 2013 r. poz. 885</w:t>
      </w:r>
      <w:r w:rsidR="00BF5D36">
        <w:t xml:space="preserve"> z </w:t>
      </w:r>
      <w:proofErr w:type="spellStart"/>
      <w:r w:rsidR="00BF5D36">
        <w:t>późn</w:t>
      </w:r>
      <w:proofErr w:type="spellEnd"/>
      <w:r w:rsidR="00BF5D36">
        <w:t>. zm.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F72F5F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CA1014">
        <w:t>5</w:t>
      </w:r>
      <w:r>
        <w:t xml:space="preserve"> r. uchwalonym uchwałą Nr </w:t>
      </w:r>
      <w:r w:rsidR="00CA1014">
        <w:t>II/8</w:t>
      </w:r>
      <w:r w:rsidR="00D00179">
        <w:t>/1</w:t>
      </w:r>
      <w:r w:rsidR="00CA1014">
        <w:t>4</w:t>
      </w:r>
      <w:r>
        <w:t xml:space="preserve">   Rady Gminy Chełmża z dnia </w:t>
      </w:r>
      <w:r w:rsidR="00CA1014">
        <w:t>19 grudnia</w:t>
      </w:r>
      <w:r w:rsidR="00D00179">
        <w:t xml:space="preserve"> 201</w:t>
      </w:r>
      <w:r w:rsidR="00CA1014">
        <w:t>4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>. z 201</w:t>
      </w:r>
      <w:r w:rsidR="00CA1014">
        <w:t>4</w:t>
      </w:r>
      <w:r w:rsidRPr="007D3C06">
        <w:t xml:space="preserve"> r. poz. </w:t>
      </w:r>
      <w:r w:rsidR="007D3C06" w:rsidRPr="007D3C06">
        <w:t>3</w:t>
      </w:r>
      <w:r w:rsidR="00CA1014">
        <w:t>890</w:t>
      </w:r>
      <w:r w:rsidRPr="007D3C06">
        <w:t>)</w:t>
      </w:r>
      <w:r w:rsidR="008958BD">
        <w:t>zmienionym:</w:t>
      </w:r>
    </w:p>
    <w:p w:rsidR="008958BD" w:rsidRDefault="008958BD" w:rsidP="00D00179">
      <w:pPr>
        <w:ind w:right="-137"/>
        <w:jc w:val="both"/>
      </w:pPr>
      <w:r>
        <w:t>- zarządzeniem Nr 9/15 z dnia 27 stycznia 2015r.,</w:t>
      </w:r>
    </w:p>
    <w:p w:rsidR="008958BD" w:rsidRDefault="008958BD" w:rsidP="00D00179">
      <w:pPr>
        <w:ind w:right="-137"/>
        <w:jc w:val="both"/>
      </w:pPr>
      <w:r>
        <w:t>-uchwałą Nr III/25/15 z dnia 11 lutego 2015r.,</w:t>
      </w:r>
    </w:p>
    <w:p w:rsidR="002F74A9" w:rsidRDefault="002F74A9" w:rsidP="00D00179">
      <w:pPr>
        <w:ind w:right="-137"/>
        <w:jc w:val="both"/>
      </w:pPr>
      <w:r>
        <w:t>- zarządzeniem Nr 15/15 z dnia 13 lutego 2015r.,</w:t>
      </w:r>
    </w:p>
    <w:p w:rsidR="00A10476" w:rsidRDefault="004F78EE" w:rsidP="00D00179">
      <w:pPr>
        <w:ind w:right="-137"/>
        <w:jc w:val="both"/>
      </w:pPr>
      <w:r>
        <w:t>- zarządzenie</w:t>
      </w:r>
      <w:r w:rsidR="001D7F2B">
        <w:t>m</w:t>
      </w:r>
      <w:r>
        <w:t xml:space="preserve"> Nr 19/15 z dnia 27 lutego 2015r.,</w:t>
      </w:r>
    </w:p>
    <w:p w:rsidR="008958BD" w:rsidRDefault="00A10476" w:rsidP="00D00179">
      <w:pPr>
        <w:ind w:right="-137"/>
        <w:jc w:val="both"/>
      </w:pPr>
      <w:r>
        <w:t>- zarządzeniem Nr 26/15 z dnia 24 marca 2015.,</w:t>
      </w:r>
    </w:p>
    <w:p w:rsidR="003656A7" w:rsidRDefault="00A10476" w:rsidP="00D00179">
      <w:pPr>
        <w:ind w:right="-137"/>
        <w:jc w:val="both"/>
      </w:pPr>
      <w:r>
        <w:t>- zarządzeniem Nr 31A/15 z dnia 31 marca 2015.,</w:t>
      </w:r>
    </w:p>
    <w:p w:rsidR="003656A7" w:rsidRDefault="000B13AD" w:rsidP="00D00179">
      <w:pPr>
        <w:ind w:right="-137"/>
        <w:jc w:val="both"/>
      </w:pPr>
      <w:r>
        <w:t>- zarządzeniem Nr 37/15 z dnia 20 kwietnia 2015r.,</w:t>
      </w:r>
    </w:p>
    <w:p w:rsidR="003656A7" w:rsidRDefault="003656A7" w:rsidP="00D00179">
      <w:pPr>
        <w:ind w:right="-137"/>
        <w:jc w:val="both"/>
      </w:pPr>
      <w:r>
        <w:t>- zarządzenie Nr 44/15 z dnia 28 kwietnia 2015,</w:t>
      </w:r>
    </w:p>
    <w:p w:rsidR="003656A7" w:rsidRDefault="003656A7" w:rsidP="00D00179">
      <w:pPr>
        <w:ind w:right="-137"/>
        <w:jc w:val="both"/>
      </w:pPr>
      <w:r>
        <w:t>- uchwałą Nr VI/48/15 z dnia 26 maja 2015r,</w:t>
      </w:r>
    </w:p>
    <w:p w:rsidR="009A5CC7" w:rsidRDefault="003E6509" w:rsidP="00457F29">
      <w:pPr>
        <w:ind w:right="-137"/>
        <w:jc w:val="both"/>
      </w:pPr>
      <w:r>
        <w:t>wprowadza się zmiany:</w:t>
      </w:r>
      <w:r w:rsidR="009A5CC7" w:rsidRPr="00060733">
        <w:t xml:space="preserve"> </w:t>
      </w:r>
    </w:p>
    <w:p w:rsidR="00923324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 xml:space="preserve">y </w:t>
      </w:r>
      <w:r w:rsidR="00F92EF4">
        <w:t xml:space="preserve">w wysokości </w:t>
      </w:r>
      <w:r w:rsidR="00F92EF4">
        <w:tab/>
      </w:r>
      <w:r w:rsidR="00F92EF4">
        <w:tab/>
      </w:r>
      <w:r w:rsidR="00F92EF4">
        <w:tab/>
      </w:r>
      <w:r w:rsidR="00F92EF4">
        <w:tab/>
        <w:t xml:space="preserve">  </w:t>
      </w:r>
      <w:r w:rsidR="00F92EF4">
        <w:tab/>
      </w:r>
      <w:r w:rsidR="00F92EF4">
        <w:tab/>
        <w:t xml:space="preserve">         32.492.508</w:t>
      </w:r>
      <w:r w:rsidRPr="00C0454A">
        <w:t xml:space="preserve"> zł</w:t>
      </w:r>
    </w:p>
    <w:p w:rsidR="00923324" w:rsidRPr="00C0454A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</w:t>
      </w:r>
      <w:r>
        <w:rPr>
          <w:b/>
        </w:rPr>
        <w:tab/>
        <w:t xml:space="preserve">        </w:t>
      </w:r>
      <w:r w:rsidRPr="00C0454A">
        <w:rPr>
          <w:b/>
        </w:rPr>
        <w:t xml:space="preserve"> </w:t>
      </w:r>
      <w:r w:rsidR="00F92EF4">
        <w:rPr>
          <w:b/>
        </w:rPr>
        <w:t>32.504.948</w:t>
      </w:r>
      <w:r w:rsidRPr="00C0454A">
        <w:rPr>
          <w:b/>
        </w:rPr>
        <w:t xml:space="preserve"> zł</w:t>
      </w:r>
      <w:r>
        <w:t xml:space="preserve"> </w:t>
      </w:r>
    </w:p>
    <w:p w:rsidR="00923324" w:rsidRPr="00821F8C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923324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>
        <w:t xml:space="preserve"> </w:t>
      </w:r>
      <w:r w:rsidRPr="00821F8C">
        <w:t>w wysokości</w:t>
      </w:r>
      <w:r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>
        <w:tab/>
      </w:r>
      <w:r>
        <w:tab/>
      </w:r>
      <w:r>
        <w:tab/>
        <w:t xml:space="preserve">    </w:t>
      </w:r>
      <w:r w:rsidRPr="00821F8C">
        <w:t xml:space="preserve">    </w:t>
      </w:r>
      <w:r w:rsidR="00492241">
        <w:t xml:space="preserve"> </w:t>
      </w:r>
      <w:r w:rsidR="00F92EF4">
        <w:t>26.773.588</w:t>
      </w:r>
      <w:r w:rsidRPr="00C0454A">
        <w:t xml:space="preserve"> zł</w:t>
      </w:r>
    </w:p>
    <w:p w:rsidR="00923324" w:rsidRPr="00C0454A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2</w:t>
      </w:r>
      <w:r w:rsidR="0050100A">
        <w:rPr>
          <w:b/>
        </w:rPr>
        <w:t>6</w:t>
      </w:r>
      <w:r>
        <w:rPr>
          <w:b/>
        </w:rPr>
        <w:t>.</w:t>
      </w:r>
      <w:r w:rsidR="0054730B">
        <w:rPr>
          <w:b/>
        </w:rPr>
        <w:t>786.028</w:t>
      </w:r>
      <w:r w:rsidRPr="00C0454A">
        <w:rPr>
          <w:b/>
        </w:rPr>
        <w:t xml:space="preserve"> zł</w:t>
      </w:r>
    </w:p>
    <w:p w:rsidR="00923324" w:rsidRPr="00821F8C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Pr="00821F8C">
        <w:t xml:space="preserve">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  </w:t>
      </w:r>
      <w:r>
        <w:t xml:space="preserve"> </w:t>
      </w:r>
      <w:r w:rsidR="0054730B">
        <w:rPr>
          <w:b/>
        </w:rPr>
        <w:t>5.718.920</w:t>
      </w:r>
      <w:r w:rsidRPr="006B6755">
        <w:rPr>
          <w:b/>
        </w:rPr>
        <w:t xml:space="preserve"> zł</w:t>
      </w:r>
    </w:p>
    <w:p w:rsidR="00923324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923324" w:rsidRDefault="00923324" w:rsidP="00923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</w:t>
      </w:r>
      <w:r w:rsidR="0054730B">
        <w:t>lan dochodów budżetowych na 2015</w:t>
      </w:r>
      <w:r>
        <w:t xml:space="preserve"> r. zmienia się jak załącznik Nr 1 do zarządzenia.</w:t>
      </w:r>
      <w:r w:rsidRPr="00060733">
        <w:t xml:space="preserve"> </w:t>
      </w:r>
    </w:p>
    <w:p w:rsidR="00923324" w:rsidRDefault="00923324" w:rsidP="00710C70">
      <w:pPr>
        <w:jc w:val="both"/>
      </w:pPr>
    </w:p>
    <w:p w:rsidR="00813FA1" w:rsidRPr="00923324" w:rsidRDefault="00923324" w:rsidP="00710C70">
      <w:pPr>
        <w:jc w:val="both"/>
      </w:pPr>
      <w:r>
        <w:t>2</w:t>
      </w:r>
      <w:r w:rsidR="0062466C">
        <w:t xml:space="preserve">) </w:t>
      </w:r>
      <w:r w:rsidR="00710C70">
        <w:t>w § 2 wydatki w wysokości</w:t>
      </w:r>
      <w:r w:rsidR="00457F29">
        <w:t xml:space="preserve"> </w:t>
      </w:r>
      <w:r>
        <w:tab/>
      </w:r>
      <w:r>
        <w:tab/>
      </w:r>
      <w:r w:rsidR="00457F29">
        <w:tab/>
      </w:r>
      <w:r w:rsidR="006D11AF">
        <w:tab/>
      </w:r>
      <w:r w:rsidR="00710C70">
        <w:tab/>
      </w:r>
      <w:r w:rsidR="00710C70">
        <w:tab/>
      </w:r>
      <w:r w:rsidR="00710C70" w:rsidRPr="008D2102">
        <w:rPr>
          <w:b/>
        </w:rPr>
        <w:t xml:space="preserve">           </w:t>
      </w:r>
      <w:r w:rsidR="00710C70" w:rsidRPr="00923324">
        <w:t>3</w:t>
      </w:r>
      <w:r w:rsidR="0054730B">
        <w:t>5.637.508</w:t>
      </w:r>
      <w:r w:rsidR="00710C70" w:rsidRPr="00923324">
        <w:t xml:space="preserve"> zł</w:t>
      </w:r>
    </w:p>
    <w:p w:rsidR="00923324" w:rsidRPr="003E6509" w:rsidRDefault="00923324" w:rsidP="00923324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4730B">
        <w:rPr>
          <w:b/>
        </w:rPr>
        <w:t>35.649.948</w:t>
      </w:r>
      <w:r w:rsidRPr="003E6509">
        <w:rPr>
          <w:b/>
        </w:rPr>
        <w:t xml:space="preserve"> </w:t>
      </w:r>
      <w:r>
        <w:rPr>
          <w:b/>
        </w:rPr>
        <w:t>z</w:t>
      </w:r>
      <w:r w:rsidRPr="003E6509">
        <w:rPr>
          <w:b/>
        </w:rPr>
        <w:t>ł</w:t>
      </w:r>
    </w:p>
    <w:p w:rsidR="00710C70" w:rsidRDefault="00B83ED8" w:rsidP="00710C70">
      <w:pPr>
        <w:jc w:val="both"/>
      </w:pPr>
      <w:r>
        <w:t xml:space="preserve"> </w:t>
      </w:r>
      <w:r w:rsidR="00710C70">
        <w:rPr>
          <w:b/>
        </w:rPr>
        <w:t xml:space="preserve">   </w:t>
      </w:r>
      <w:r w:rsidR="00710C70">
        <w:t>z tego:</w:t>
      </w:r>
    </w:p>
    <w:p w:rsidR="00813FA1" w:rsidRPr="00923324" w:rsidRDefault="00710C70" w:rsidP="00710C70">
      <w:r>
        <w:t xml:space="preserve">   wydatki bieżące</w:t>
      </w:r>
      <w:r w:rsidR="006366C9" w:rsidRPr="006366C9">
        <w:t xml:space="preserve"> </w:t>
      </w:r>
      <w:r w:rsidR="00F55AEB">
        <w:t>w wysokości</w:t>
      </w:r>
      <w:r w:rsidR="00923324">
        <w:tab/>
      </w:r>
      <w:r w:rsidR="00923324">
        <w:tab/>
      </w:r>
      <w:r w:rsidR="00923324">
        <w:tab/>
      </w:r>
      <w:r w:rsidR="00922CA1">
        <w:tab/>
      </w:r>
      <w:r>
        <w:tab/>
      </w:r>
      <w:r>
        <w:tab/>
      </w:r>
      <w:r w:rsidRPr="00D367C5">
        <w:t xml:space="preserve">           </w:t>
      </w:r>
      <w:r w:rsidR="00922CA1" w:rsidRPr="00923324">
        <w:t>2</w:t>
      </w:r>
      <w:r w:rsidR="0054730B">
        <w:t>4.103.708</w:t>
      </w:r>
      <w:r w:rsidRPr="00923324">
        <w:t xml:space="preserve"> zł</w:t>
      </w:r>
    </w:p>
    <w:p w:rsidR="00923324" w:rsidRPr="003E6509" w:rsidRDefault="00923324" w:rsidP="00923324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23324">
        <w:rPr>
          <w:b/>
        </w:rPr>
        <w:t>2</w:t>
      </w:r>
      <w:r w:rsidR="0054730B">
        <w:rPr>
          <w:b/>
        </w:rPr>
        <w:t>4.116.148</w:t>
      </w:r>
      <w:r w:rsidRPr="003E6509">
        <w:rPr>
          <w:b/>
        </w:rPr>
        <w:t xml:space="preserve"> </w:t>
      </w:r>
      <w:r>
        <w:rPr>
          <w:b/>
        </w:rPr>
        <w:t>z</w:t>
      </w:r>
      <w:r w:rsidRPr="003E6509">
        <w:rPr>
          <w:b/>
        </w:rPr>
        <w:t>ł</w:t>
      </w:r>
    </w:p>
    <w:p w:rsidR="00923324" w:rsidRPr="008D2102" w:rsidRDefault="00923324" w:rsidP="00710C70">
      <w:pPr>
        <w:rPr>
          <w:b/>
        </w:rPr>
      </w:pPr>
    </w:p>
    <w:p w:rsidR="00710C70" w:rsidRDefault="00710C70" w:rsidP="00457F29">
      <w:pPr>
        <w:jc w:val="both"/>
      </w:pPr>
      <w:r w:rsidRPr="00D367C5">
        <w:t xml:space="preserve"> </w:t>
      </w:r>
      <w:r>
        <w:t xml:space="preserve">   w tym:</w:t>
      </w:r>
      <w:r>
        <w:tab/>
      </w:r>
    </w:p>
    <w:p w:rsidR="00527AB4" w:rsidRDefault="00710C70" w:rsidP="00710C70">
      <w:pPr>
        <w:rPr>
          <w:b/>
        </w:rPr>
      </w:pPr>
      <w:r>
        <w:t>a) wydatki jed</w:t>
      </w:r>
      <w:r w:rsidR="00F55AEB">
        <w:t>nostek budżetowych w wysokości</w:t>
      </w:r>
      <w:r w:rsidR="00923324">
        <w:tab/>
      </w:r>
      <w:r w:rsidR="00923324">
        <w:tab/>
      </w:r>
      <w:r w:rsidR="00923324">
        <w:tab/>
      </w:r>
      <w:r>
        <w:tab/>
      </w:r>
      <w:r w:rsidRPr="00A0184A">
        <w:t xml:space="preserve">           </w:t>
      </w:r>
      <w:r w:rsidR="0054730B">
        <w:t xml:space="preserve">17.998.702 </w:t>
      </w:r>
      <w:r w:rsidRPr="00A0184A">
        <w:t>zł</w:t>
      </w:r>
    </w:p>
    <w:p w:rsidR="00923324" w:rsidRDefault="00923324" w:rsidP="00710C70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4730B">
        <w:rPr>
          <w:b/>
        </w:rPr>
        <w:t>18.009.641</w:t>
      </w:r>
      <w:r w:rsidRPr="003E6509">
        <w:rPr>
          <w:b/>
        </w:rPr>
        <w:t xml:space="preserve"> </w:t>
      </w:r>
      <w:r>
        <w:rPr>
          <w:b/>
        </w:rPr>
        <w:t>z</w:t>
      </w:r>
      <w:r w:rsidRPr="003E6509">
        <w:rPr>
          <w:b/>
        </w:rPr>
        <w:t>ł</w:t>
      </w:r>
    </w:p>
    <w:p w:rsidR="00710C70" w:rsidRDefault="00710C70" w:rsidP="00710C70">
      <w:r>
        <w:t>w tym:</w:t>
      </w:r>
    </w:p>
    <w:p w:rsidR="00710C70" w:rsidRDefault="00710C70" w:rsidP="00710C70">
      <w:r>
        <w:t xml:space="preserve">wynagrodzenia i składki od nich naliczone w wysokości </w:t>
      </w:r>
      <w:r w:rsidR="002F74A9">
        <w:tab/>
      </w:r>
      <w:r w:rsidR="002F74A9">
        <w:tab/>
      </w:r>
      <w:r w:rsidR="002F74A9">
        <w:tab/>
        <w:t xml:space="preserve">           </w:t>
      </w:r>
      <w:r w:rsidR="00A51157">
        <w:t>1</w:t>
      </w:r>
      <w:r w:rsidR="0054730B">
        <w:t>0.850.448</w:t>
      </w:r>
      <w:r w:rsidRPr="00275EC2">
        <w:t xml:space="preserve"> zł</w:t>
      </w:r>
    </w:p>
    <w:p w:rsidR="002F74A9" w:rsidRPr="003E6509" w:rsidRDefault="002F74A9" w:rsidP="002F74A9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4730B">
        <w:rPr>
          <w:b/>
        </w:rPr>
        <w:t>10.867.177</w:t>
      </w:r>
      <w:r w:rsidRPr="003E6509">
        <w:rPr>
          <w:b/>
        </w:rPr>
        <w:t xml:space="preserve"> </w:t>
      </w:r>
      <w:r>
        <w:rPr>
          <w:b/>
        </w:rPr>
        <w:t>z</w:t>
      </w:r>
      <w:r w:rsidRPr="003E6509">
        <w:rPr>
          <w:b/>
        </w:rPr>
        <w:t>ł</w:t>
      </w:r>
    </w:p>
    <w:p w:rsidR="00710C70" w:rsidRDefault="00710C70" w:rsidP="00710C70">
      <w:r>
        <w:t>wydatki związane z realizacją ich zadań statutowyc</w:t>
      </w:r>
      <w:r w:rsidR="00455565">
        <w:t xml:space="preserve">h w wysokości </w:t>
      </w:r>
      <w:r w:rsidR="00455565">
        <w:tab/>
        <w:t xml:space="preserve">             </w:t>
      </w:r>
      <w:r w:rsidR="0054730B">
        <w:t>7.148.254</w:t>
      </w:r>
      <w:r>
        <w:t xml:space="preserve"> zł</w:t>
      </w:r>
    </w:p>
    <w:p w:rsidR="00A51157" w:rsidRPr="003E6509" w:rsidRDefault="00710C70" w:rsidP="00710C70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 w:rsidR="0054730B">
        <w:rPr>
          <w:b/>
        </w:rPr>
        <w:t>7.142.464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  <w:rPr>
          <w:b/>
        </w:rPr>
      </w:pPr>
      <w:r>
        <w:t xml:space="preserve">b) dotacje na zadania bieżące w wysokości </w:t>
      </w:r>
      <w:r>
        <w:tab/>
      </w:r>
      <w:r w:rsidR="00A51157">
        <w:tab/>
      </w:r>
      <w:r w:rsidR="00A51157">
        <w:tab/>
      </w:r>
      <w:r w:rsidR="00A51157">
        <w:tab/>
      </w:r>
      <w:r>
        <w:tab/>
      </w:r>
      <w:r w:rsidRPr="006366C9">
        <w:rPr>
          <w:b/>
        </w:rPr>
        <w:t xml:space="preserve">             </w:t>
      </w:r>
      <w:r w:rsidR="0054730B">
        <w:rPr>
          <w:b/>
        </w:rPr>
        <w:t xml:space="preserve">   985.000</w:t>
      </w:r>
      <w:r w:rsidRPr="006366C9">
        <w:rPr>
          <w:b/>
        </w:rPr>
        <w:t xml:space="preserve"> zł</w:t>
      </w:r>
    </w:p>
    <w:p w:rsidR="00710C70" w:rsidRDefault="00710C70" w:rsidP="00710C70">
      <w:pPr>
        <w:jc w:val="both"/>
        <w:rPr>
          <w:b/>
        </w:rPr>
      </w:pPr>
      <w:r>
        <w:t xml:space="preserve">c) świadczenia na rzecz osób fizycznych w wysokości  </w:t>
      </w:r>
      <w:r w:rsidR="00923324">
        <w:tab/>
      </w:r>
      <w:r w:rsidR="00923324">
        <w:tab/>
      </w:r>
      <w:r w:rsidR="00923324">
        <w:tab/>
        <w:t xml:space="preserve">   </w:t>
      </w:r>
      <w:r w:rsidRPr="00F55AEB">
        <w:rPr>
          <w:b/>
        </w:rPr>
        <w:t xml:space="preserve">          </w:t>
      </w:r>
      <w:r w:rsidR="00527AB4" w:rsidRPr="00A0184A">
        <w:t>3</w:t>
      </w:r>
      <w:r w:rsidRPr="00A0184A">
        <w:t>.</w:t>
      </w:r>
      <w:r w:rsidR="0054730B">
        <w:t>678.988</w:t>
      </w:r>
      <w:r w:rsidRPr="00A0184A">
        <w:t xml:space="preserve"> zł</w:t>
      </w:r>
    </w:p>
    <w:p w:rsidR="00923324" w:rsidRDefault="00923324" w:rsidP="001D7F2B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</w:rPr>
        <w:t>3</w:t>
      </w:r>
      <w:r w:rsidRPr="003E6509">
        <w:rPr>
          <w:b/>
        </w:rPr>
        <w:t>.</w:t>
      </w:r>
      <w:r w:rsidR="00492241">
        <w:rPr>
          <w:b/>
        </w:rPr>
        <w:t>6</w:t>
      </w:r>
      <w:r w:rsidR="0054730B">
        <w:rPr>
          <w:b/>
        </w:rPr>
        <w:t>80.489</w:t>
      </w:r>
      <w:r w:rsidRPr="003E6509">
        <w:rPr>
          <w:b/>
        </w:rPr>
        <w:t xml:space="preserve"> </w:t>
      </w:r>
      <w:r>
        <w:rPr>
          <w:b/>
        </w:rPr>
        <w:t>z</w:t>
      </w:r>
      <w:r w:rsidRPr="003E6509">
        <w:rPr>
          <w:b/>
        </w:rPr>
        <w:t>ł</w:t>
      </w:r>
    </w:p>
    <w:p w:rsidR="00710C70" w:rsidRDefault="00710C70" w:rsidP="00710C70">
      <w:pPr>
        <w:jc w:val="both"/>
      </w:pPr>
      <w:r>
        <w:t>d) wydatki na programy UE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27AB4" w:rsidRPr="00527AB4">
        <w:rPr>
          <w:b/>
        </w:rPr>
        <w:t>491</w:t>
      </w:r>
      <w:r w:rsidRPr="00527AB4">
        <w:rPr>
          <w:b/>
        </w:rPr>
        <w:t>.</w:t>
      </w:r>
      <w:r w:rsidR="00527AB4">
        <w:rPr>
          <w:b/>
        </w:rPr>
        <w:t>01</w:t>
      </w:r>
      <w:r w:rsidR="009D031C">
        <w:rPr>
          <w:b/>
        </w:rPr>
        <w:t>8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</w:pPr>
      <w:r>
        <w:t>e</w:t>
      </w:r>
      <w:r w:rsidRPr="006B733C">
        <w:t xml:space="preserve">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>
        <w:t xml:space="preserve">           </w:t>
      </w:r>
      <w:r w:rsidRPr="00C0454A">
        <w:rPr>
          <w:b/>
        </w:rPr>
        <w:t xml:space="preserve">     </w:t>
      </w:r>
      <w:r>
        <w:rPr>
          <w:b/>
        </w:rPr>
        <w:t>950.000</w:t>
      </w:r>
      <w:r w:rsidRPr="00C0454A">
        <w:rPr>
          <w:b/>
        </w:rPr>
        <w:t xml:space="preserve"> zł</w:t>
      </w:r>
    </w:p>
    <w:p w:rsidR="00710C70" w:rsidRDefault="00710C70" w:rsidP="00710C70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 w:rsidR="00527AB4">
        <w:tab/>
      </w:r>
      <w:r w:rsidR="00527AB4">
        <w:tab/>
        <w:t xml:space="preserve">           </w:t>
      </w:r>
      <w:r w:rsidR="0054730B">
        <w:rPr>
          <w:b/>
        </w:rPr>
        <w:t>11.533.800</w:t>
      </w:r>
      <w:r w:rsidRPr="003E6509">
        <w:rPr>
          <w:b/>
        </w:rPr>
        <w:t xml:space="preserve"> zł</w:t>
      </w:r>
    </w:p>
    <w:p w:rsidR="00710C70" w:rsidRPr="00944068" w:rsidRDefault="00710C70" w:rsidP="00710C70">
      <w:pPr>
        <w:jc w:val="both"/>
      </w:pPr>
      <w:r w:rsidRPr="00944068">
        <w:t>w tym:</w:t>
      </w:r>
    </w:p>
    <w:p w:rsidR="00710C70" w:rsidRPr="00363E35" w:rsidRDefault="00710C70" w:rsidP="00710C70">
      <w:pPr>
        <w:jc w:val="both"/>
      </w:pPr>
      <w:r w:rsidRPr="00363E35">
        <w:t xml:space="preserve">dotacje celowe na inwestycje          </w:t>
      </w:r>
      <w:r w:rsidR="00BB0AF4">
        <w:t xml:space="preserve">    </w:t>
      </w:r>
      <w:r w:rsidR="00527AB4">
        <w:t>130</w:t>
      </w:r>
      <w:r>
        <w:t>.000</w:t>
      </w:r>
      <w:r w:rsidRPr="00363E35">
        <w:t xml:space="preserve"> zł </w:t>
      </w:r>
    </w:p>
    <w:p w:rsidR="00710C70" w:rsidRPr="00363E35" w:rsidRDefault="00710C70" w:rsidP="00710C70">
      <w:pPr>
        <w:jc w:val="both"/>
      </w:pPr>
      <w:r w:rsidRPr="00363E35">
        <w:t xml:space="preserve">wydatki inwestycyjne                 </w:t>
      </w:r>
      <w:r w:rsidR="00527AB4">
        <w:t xml:space="preserve">    10</w:t>
      </w:r>
      <w:r>
        <w:t>.</w:t>
      </w:r>
      <w:r w:rsidR="0054730B">
        <w:t>403.800</w:t>
      </w:r>
      <w:r w:rsidRPr="00363E35">
        <w:t xml:space="preserve"> zł   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lastRenderedPageBreak/>
        <w:t>załącznik Nr 2- Plan wydatków budżetowych na 201</w:t>
      </w:r>
      <w:r w:rsidR="00C46147">
        <w:t>5</w:t>
      </w:r>
      <w:r>
        <w:t xml:space="preserve"> r. zmienia się jak w załączniku Nr 2 do </w:t>
      </w:r>
    </w:p>
    <w:p w:rsidR="00B06757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1492A">
        <w:t>zarządzenia;</w:t>
      </w:r>
    </w:p>
    <w:p w:rsidR="006D330E" w:rsidRDefault="006D330E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6C4BFD" w:rsidRDefault="007F3331" w:rsidP="006C4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6C4BFD">
        <w:rPr>
          <w:rFonts w:eastAsiaTheme="minorHAnsi"/>
          <w:lang w:eastAsia="en-US"/>
        </w:rPr>
        <w:t>) zmienia się załączniki do budżetu:</w:t>
      </w:r>
    </w:p>
    <w:p w:rsidR="006C4BFD" w:rsidRDefault="006C4BFD" w:rsidP="006C4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9 – Dochody związane z realizacją zadań z zakresu administracji rządowej i innych zadań zleconych odrębnymi ustawami w 2015 roku zmienia się jak w załączniku  Nr 9 do zarządzenia,</w:t>
      </w:r>
    </w:p>
    <w:p w:rsidR="006C4BFD" w:rsidRDefault="006C4BFD" w:rsidP="006C4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2015 roku zmienia się jak w załączniku  Nr 10 do zarządzenia,</w:t>
      </w:r>
    </w:p>
    <w:p w:rsidR="006C4BFD" w:rsidRDefault="006C4BFD" w:rsidP="006C4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F55AEB" w:rsidRDefault="00D41448" w:rsidP="00AD412A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§ 3. </w:t>
      </w:r>
      <w:r>
        <w:rPr>
          <w:bCs/>
        </w:rPr>
        <w:t>Zarządzenie</w:t>
      </w:r>
      <w:r>
        <w:t xml:space="preserve"> wchodzi w życie z dniem wydania.</w:t>
      </w:r>
    </w:p>
    <w:p w:rsidR="00F55AEB" w:rsidRDefault="00F55AE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F55AEB" w:rsidRDefault="00F55AE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D08A5" w:rsidRDefault="00BD08A5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BF5D36" w:rsidRDefault="00BF5D36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7F3331" w:rsidRDefault="007F3331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7F3331" w:rsidRDefault="007F3331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7F3331" w:rsidRDefault="007F3331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1D7F2B" w:rsidRDefault="001D7F2B" w:rsidP="001207C1">
      <w:pPr>
        <w:ind w:left="2124" w:firstLine="708"/>
        <w:jc w:val="both"/>
        <w:rPr>
          <w:b/>
          <w:bCs/>
          <w:sz w:val="22"/>
          <w:szCs w:val="22"/>
        </w:rPr>
      </w:pPr>
    </w:p>
    <w:p w:rsidR="00683851" w:rsidRPr="007D36F4" w:rsidRDefault="00D41448" w:rsidP="00192EB9">
      <w:pPr>
        <w:ind w:left="2124" w:firstLine="708"/>
        <w:jc w:val="both"/>
        <w:rPr>
          <w:b/>
          <w:bCs/>
          <w:sz w:val="22"/>
          <w:szCs w:val="22"/>
        </w:rPr>
      </w:pPr>
      <w:r w:rsidRPr="007D36F4">
        <w:rPr>
          <w:b/>
          <w:bCs/>
          <w:sz w:val="22"/>
          <w:szCs w:val="22"/>
        </w:rPr>
        <w:t>Uzasadnienie do zarządzenia Nr</w:t>
      </w:r>
      <w:r w:rsidR="003E6785" w:rsidRPr="007D36F4">
        <w:rPr>
          <w:b/>
          <w:bCs/>
          <w:sz w:val="22"/>
          <w:szCs w:val="22"/>
        </w:rPr>
        <w:t xml:space="preserve"> </w:t>
      </w:r>
      <w:r w:rsidR="007F3331">
        <w:rPr>
          <w:b/>
          <w:bCs/>
          <w:sz w:val="22"/>
          <w:szCs w:val="22"/>
        </w:rPr>
        <w:t>55</w:t>
      </w:r>
      <w:r w:rsidR="005040B9">
        <w:rPr>
          <w:b/>
          <w:bCs/>
          <w:sz w:val="22"/>
          <w:szCs w:val="22"/>
        </w:rPr>
        <w:t>/15</w:t>
      </w:r>
    </w:p>
    <w:p w:rsidR="00D41448" w:rsidRPr="007D36F4" w:rsidRDefault="00D41448" w:rsidP="00683851">
      <w:pPr>
        <w:ind w:left="2124" w:firstLine="708"/>
        <w:jc w:val="both"/>
        <w:rPr>
          <w:b/>
          <w:bCs/>
          <w:sz w:val="22"/>
          <w:szCs w:val="22"/>
        </w:rPr>
      </w:pPr>
      <w:r w:rsidRPr="007D36F4">
        <w:rPr>
          <w:b/>
          <w:bCs/>
          <w:sz w:val="22"/>
          <w:szCs w:val="22"/>
        </w:rPr>
        <w:tab/>
        <w:t>Wójta Gminy Chełmża</w:t>
      </w:r>
      <w:r w:rsidRPr="007D36F4">
        <w:rPr>
          <w:b/>
          <w:bCs/>
          <w:sz w:val="22"/>
          <w:szCs w:val="22"/>
        </w:rPr>
        <w:tab/>
      </w:r>
    </w:p>
    <w:p w:rsidR="00D41448" w:rsidRPr="007D36F4" w:rsidRDefault="00944116" w:rsidP="00D41448">
      <w:pPr>
        <w:jc w:val="center"/>
        <w:rPr>
          <w:b/>
          <w:bCs/>
          <w:sz w:val="22"/>
          <w:szCs w:val="22"/>
        </w:rPr>
      </w:pPr>
      <w:r w:rsidRPr="007D36F4">
        <w:rPr>
          <w:b/>
          <w:bCs/>
          <w:sz w:val="22"/>
          <w:szCs w:val="22"/>
        </w:rPr>
        <w:t xml:space="preserve">       </w:t>
      </w:r>
      <w:r w:rsidR="005061E2" w:rsidRPr="007D36F4">
        <w:rPr>
          <w:b/>
          <w:bCs/>
          <w:sz w:val="22"/>
          <w:szCs w:val="22"/>
        </w:rPr>
        <w:t xml:space="preserve">z dnia </w:t>
      </w:r>
      <w:r w:rsidR="002F74A9">
        <w:rPr>
          <w:b/>
          <w:bCs/>
          <w:sz w:val="22"/>
          <w:szCs w:val="22"/>
        </w:rPr>
        <w:t>2</w:t>
      </w:r>
      <w:r w:rsidR="007F3331">
        <w:rPr>
          <w:b/>
          <w:bCs/>
          <w:sz w:val="22"/>
          <w:szCs w:val="22"/>
        </w:rPr>
        <w:t>6</w:t>
      </w:r>
      <w:r w:rsidR="00E062A0">
        <w:rPr>
          <w:b/>
          <w:bCs/>
          <w:sz w:val="22"/>
          <w:szCs w:val="22"/>
        </w:rPr>
        <w:t xml:space="preserve"> </w:t>
      </w:r>
      <w:r w:rsidR="007F3331">
        <w:rPr>
          <w:b/>
          <w:bCs/>
          <w:sz w:val="22"/>
          <w:szCs w:val="22"/>
        </w:rPr>
        <w:t>maja</w:t>
      </w:r>
      <w:r w:rsidR="00D07749" w:rsidRPr="007D36F4">
        <w:rPr>
          <w:b/>
          <w:bCs/>
          <w:sz w:val="22"/>
          <w:szCs w:val="22"/>
        </w:rPr>
        <w:t xml:space="preserve"> 201</w:t>
      </w:r>
      <w:r w:rsidR="00AD412A">
        <w:rPr>
          <w:b/>
          <w:bCs/>
          <w:sz w:val="22"/>
          <w:szCs w:val="22"/>
        </w:rPr>
        <w:t>5</w:t>
      </w:r>
      <w:r w:rsidR="00D41448" w:rsidRPr="007D36F4">
        <w:rPr>
          <w:b/>
          <w:bCs/>
          <w:sz w:val="22"/>
          <w:szCs w:val="22"/>
        </w:rPr>
        <w:t xml:space="preserve"> r.</w:t>
      </w:r>
    </w:p>
    <w:p w:rsidR="00D41448" w:rsidRPr="007D36F4" w:rsidRDefault="00D41448" w:rsidP="00D41448">
      <w:pPr>
        <w:jc w:val="center"/>
        <w:rPr>
          <w:b/>
          <w:bCs/>
          <w:sz w:val="22"/>
          <w:szCs w:val="22"/>
        </w:rPr>
      </w:pPr>
    </w:p>
    <w:p w:rsidR="00D41448" w:rsidRPr="007D36F4" w:rsidRDefault="00D41448" w:rsidP="00D41448">
      <w:pPr>
        <w:rPr>
          <w:bCs/>
          <w:sz w:val="22"/>
          <w:szCs w:val="22"/>
        </w:rPr>
      </w:pPr>
      <w:r w:rsidRPr="007D36F4">
        <w:rPr>
          <w:bCs/>
          <w:sz w:val="22"/>
          <w:szCs w:val="22"/>
        </w:rPr>
        <w:t>Zmiany, o których mowa w zarządzeniu określa załącznik</w:t>
      </w:r>
      <w:r w:rsidR="001D7F2B">
        <w:rPr>
          <w:bCs/>
          <w:sz w:val="22"/>
          <w:szCs w:val="22"/>
        </w:rPr>
        <w:t>i</w:t>
      </w:r>
      <w:r w:rsidRPr="007D36F4">
        <w:rPr>
          <w:bCs/>
          <w:sz w:val="22"/>
          <w:szCs w:val="22"/>
        </w:rPr>
        <w:t xml:space="preserve"> N</w:t>
      </w:r>
      <w:r w:rsidR="00806ABB" w:rsidRPr="007D36F4">
        <w:rPr>
          <w:bCs/>
          <w:sz w:val="22"/>
          <w:szCs w:val="22"/>
        </w:rPr>
        <w:t xml:space="preserve">r   </w:t>
      </w:r>
      <w:r w:rsidR="00C2739A" w:rsidRPr="007D36F4">
        <w:rPr>
          <w:bCs/>
          <w:sz w:val="22"/>
          <w:szCs w:val="22"/>
        </w:rPr>
        <w:t xml:space="preserve"> </w:t>
      </w:r>
      <w:r w:rsidR="005E28EF" w:rsidRPr="007D36F4">
        <w:rPr>
          <w:bCs/>
          <w:sz w:val="22"/>
          <w:szCs w:val="22"/>
        </w:rPr>
        <w:t xml:space="preserve"> </w:t>
      </w:r>
      <w:r w:rsidR="001D7F2B">
        <w:rPr>
          <w:bCs/>
          <w:sz w:val="22"/>
          <w:szCs w:val="22"/>
        </w:rPr>
        <w:t>1,</w:t>
      </w:r>
      <w:r w:rsidR="00BB19C7">
        <w:rPr>
          <w:bCs/>
          <w:sz w:val="22"/>
          <w:szCs w:val="22"/>
        </w:rPr>
        <w:t xml:space="preserve"> </w:t>
      </w:r>
      <w:r w:rsidR="00A818B6" w:rsidRPr="007D36F4">
        <w:rPr>
          <w:bCs/>
          <w:sz w:val="22"/>
          <w:szCs w:val="22"/>
        </w:rPr>
        <w:t>2</w:t>
      </w:r>
      <w:r w:rsidR="001D7F2B">
        <w:rPr>
          <w:bCs/>
          <w:sz w:val="22"/>
          <w:szCs w:val="22"/>
        </w:rPr>
        <w:t>,</w:t>
      </w:r>
      <w:r w:rsidR="00BB19C7">
        <w:rPr>
          <w:bCs/>
          <w:sz w:val="22"/>
          <w:szCs w:val="22"/>
        </w:rPr>
        <w:t xml:space="preserve"> </w:t>
      </w:r>
      <w:r w:rsidR="001D7F2B">
        <w:rPr>
          <w:bCs/>
          <w:sz w:val="22"/>
          <w:szCs w:val="22"/>
        </w:rPr>
        <w:t>9 i 10</w:t>
      </w:r>
      <w:r w:rsidR="00870623" w:rsidRPr="007D36F4">
        <w:rPr>
          <w:bCs/>
          <w:sz w:val="22"/>
          <w:szCs w:val="22"/>
        </w:rPr>
        <w:t>.</w:t>
      </w:r>
    </w:p>
    <w:p w:rsidR="00610B1D" w:rsidRDefault="00610B1D" w:rsidP="00610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7F2B" w:rsidRDefault="001D7F2B" w:rsidP="001D7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7D36F4">
        <w:rPr>
          <w:b/>
          <w:bCs/>
          <w:sz w:val="22"/>
          <w:szCs w:val="22"/>
        </w:rPr>
        <w:t>Dochody:</w:t>
      </w:r>
    </w:p>
    <w:p w:rsidR="00FF27EC" w:rsidRDefault="00FF27EC" w:rsidP="001D7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26491" w:rsidRDefault="00026491" w:rsidP="0002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DZ.751</w:t>
      </w:r>
    </w:p>
    <w:p w:rsidR="00026491" w:rsidRDefault="00B739E7" w:rsidP="0002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Zgodnie z decyzja Nr 6/15 z dnia 18 maja</w:t>
      </w:r>
      <w:r w:rsidR="00026491">
        <w:rPr>
          <w:sz w:val="22"/>
          <w:szCs w:val="22"/>
        </w:rPr>
        <w:t xml:space="preserve"> 2015r. Dyrektor Delegatury Krajowego Biura Wyborczego w Toruniu zwiększył plan dotacji </w:t>
      </w:r>
      <w:r w:rsidR="00026491" w:rsidRPr="007D36F4">
        <w:rPr>
          <w:sz w:val="22"/>
          <w:szCs w:val="22"/>
        </w:rPr>
        <w:t xml:space="preserve">w rozdziale </w:t>
      </w:r>
      <w:r w:rsidR="00026491">
        <w:rPr>
          <w:sz w:val="22"/>
          <w:szCs w:val="22"/>
        </w:rPr>
        <w:t>75107</w:t>
      </w:r>
      <w:r w:rsidR="00026491" w:rsidRPr="007D36F4">
        <w:rPr>
          <w:sz w:val="22"/>
          <w:szCs w:val="22"/>
        </w:rPr>
        <w:t xml:space="preserve"> § 20</w:t>
      </w:r>
      <w:r w:rsidR="00026491">
        <w:rPr>
          <w:sz w:val="22"/>
          <w:szCs w:val="22"/>
        </w:rPr>
        <w:t>1</w:t>
      </w:r>
      <w:r w:rsidR="00026491" w:rsidRPr="007D36F4">
        <w:rPr>
          <w:sz w:val="22"/>
          <w:szCs w:val="22"/>
        </w:rPr>
        <w:t xml:space="preserve">0 o kwotę </w:t>
      </w:r>
      <w:r w:rsidR="00026491">
        <w:rPr>
          <w:sz w:val="22"/>
          <w:szCs w:val="22"/>
        </w:rPr>
        <w:t xml:space="preserve">12.440,00 zł , </w:t>
      </w:r>
      <w:r w:rsidR="00026491" w:rsidRPr="007D36F4">
        <w:rPr>
          <w:sz w:val="22"/>
          <w:szCs w:val="22"/>
        </w:rPr>
        <w:t>powyższa decyzja powoduje również zmiany planu po stronie wydatków</w:t>
      </w:r>
    </w:p>
    <w:p w:rsidR="00026491" w:rsidRDefault="00026491" w:rsidP="003F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0B1D" w:rsidRDefault="00610B1D" w:rsidP="00610B1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7D36F4">
        <w:rPr>
          <w:b/>
          <w:bCs/>
          <w:sz w:val="22"/>
          <w:szCs w:val="22"/>
        </w:rPr>
        <w:t>ydatki:</w:t>
      </w:r>
      <w:r w:rsidRPr="00E062A0">
        <w:rPr>
          <w:b/>
          <w:bCs/>
          <w:sz w:val="22"/>
          <w:szCs w:val="22"/>
        </w:rPr>
        <w:t xml:space="preserve"> </w:t>
      </w:r>
    </w:p>
    <w:p w:rsidR="00B65C53" w:rsidRPr="007D36F4" w:rsidRDefault="00B65C53" w:rsidP="00B65C53">
      <w:pPr>
        <w:rPr>
          <w:b/>
          <w:bCs/>
          <w:sz w:val="22"/>
          <w:szCs w:val="22"/>
        </w:rPr>
      </w:pPr>
      <w:r w:rsidRPr="007D36F4">
        <w:rPr>
          <w:b/>
          <w:bCs/>
          <w:sz w:val="22"/>
          <w:szCs w:val="22"/>
        </w:rPr>
        <w:t>DZ.</w:t>
      </w:r>
      <w:r w:rsidR="00B739E7">
        <w:rPr>
          <w:b/>
          <w:bCs/>
          <w:sz w:val="22"/>
          <w:szCs w:val="22"/>
        </w:rPr>
        <w:t>751</w:t>
      </w:r>
    </w:p>
    <w:p w:rsidR="00B65C53" w:rsidRDefault="00B65C53" w:rsidP="00B65C53">
      <w:pPr>
        <w:jc w:val="both"/>
        <w:rPr>
          <w:bCs/>
          <w:sz w:val="22"/>
          <w:szCs w:val="22"/>
        </w:rPr>
      </w:pPr>
      <w:r w:rsidRPr="007D36F4">
        <w:rPr>
          <w:bCs/>
          <w:sz w:val="22"/>
          <w:szCs w:val="22"/>
        </w:rPr>
        <w:t>Dokonuje się przesun</w:t>
      </w:r>
      <w:r>
        <w:rPr>
          <w:bCs/>
          <w:sz w:val="22"/>
          <w:szCs w:val="22"/>
        </w:rPr>
        <w:t>ięcia planu wydatków w rozdziale</w:t>
      </w:r>
      <w:r w:rsidRPr="007D36F4">
        <w:rPr>
          <w:bCs/>
          <w:sz w:val="22"/>
          <w:szCs w:val="22"/>
        </w:rPr>
        <w:t xml:space="preserve"> </w:t>
      </w:r>
      <w:r w:rsidR="00B739E7">
        <w:rPr>
          <w:bCs/>
          <w:sz w:val="22"/>
          <w:szCs w:val="22"/>
        </w:rPr>
        <w:t>75107</w:t>
      </w:r>
      <w:r w:rsidRPr="007D36F4">
        <w:rPr>
          <w:bCs/>
          <w:sz w:val="22"/>
          <w:szCs w:val="22"/>
        </w:rPr>
        <w:t xml:space="preserve"> między paragrafami w celu prawidłowej realizacji budżetu.</w:t>
      </w:r>
    </w:p>
    <w:p w:rsidR="00B65C53" w:rsidRPr="007D36F4" w:rsidRDefault="00B65C53" w:rsidP="00B65C53">
      <w:pPr>
        <w:rPr>
          <w:b/>
          <w:bCs/>
          <w:sz w:val="22"/>
          <w:szCs w:val="22"/>
        </w:rPr>
      </w:pPr>
      <w:r w:rsidRPr="007D36F4">
        <w:rPr>
          <w:b/>
          <w:bCs/>
          <w:sz w:val="22"/>
          <w:szCs w:val="22"/>
        </w:rPr>
        <w:t>DZ.</w:t>
      </w:r>
      <w:r w:rsidR="00B739E7">
        <w:rPr>
          <w:b/>
          <w:bCs/>
          <w:sz w:val="22"/>
          <w:szCs w:val="22"/>
        </w:rPr>
        <w:t>801</w:t>
      </w:r>
    </w:p>
    <w:p w:rsidR="00B65C53" w:rsidRDefault="00B65C53" w:rsidP="00B65C53">
      <w:pPr>
        <w:jc w:val="both"/>
        <w:rPr>
          <w:bCs/>
          <w:sz w:val="22"/>
          <w:szCs w:val="22"/>
        </w:rPr>
      </w:pPr>
      <w:r w:rsidRPr="007D36F4">
        <w:rPr>
          <w:bCs/>
          <w:sz w:val="22"/>
          <w:szCs w:val="22"/>
        </w:rPr>
        <w:t>Dokonuje się przesun</w:t>
      </w:r>
      <w:r>
        <w:rPr>
          <w:bCs/>
          <w:sz w:val="22"/>
          <w:szCs w:val="22"/>
        </w:rPr>
        <w:t>ię</w:t>
      </w:r>
      <w:r w:rsidR="00CA0491">
        <w:rPr>
          <w:bCs/>
          <w:sz w:val="22"/>
          <w:szCs w:val="22"/>
        </w:rPr>
        <w:t>cia planu wydatków w rozdziałach</w:t>
      </w:r>
      <w:r>
        <w:rPr>
          <w:bCs/>
          <w:sz w:val="22"/>
          <w:szCs w:val="22"/>
        </w:rPr>
        <w:t xml:space="preserve"> </w:t>
      </w:r>
      <w:r w:rsidR="00B739E7">
        <w:rPr>
          <w:bCs/>
          <w:sz w:val="22"/>
          <w:szCs w:val="22"/>
        </w:rPr>
        <w:t>80101,80103,80110 i 80114</w:t>
      </w:r>
      <w:r>
        <w:rPr>
          <w:bCs/>
          <w:sz w:val="22"/>
          <w:szCs w:val="22"/>
        </w:rPr>
        <w:t xml:space="preserve"> </w:t>
      </w:r>
      <w:r w:rsidRPr="007D36F4">
        <w:rPr>
          <w:bCs/>
          <w:sz w:val="22"/>
          <w:szCs w:val="22"/>
        </w:rPr>
        <w:t xml:space="preserve"> między paragrafami w celu prawidłowej realizacji budżetu.</w:t>
      </w:r>
    </w:p>
    <w:p w:rsidR="00CA0491" w:rsidRPr="007D36F4" w:rsidRDefault="00CA0491" w:rsidP="00CA0491">
      <w:pPr>
        <w:rPr>
          <w:b/>
          <w:bCs/>
          <w:sz w:val="22"/>
          <w:szCs w:val="22"/>
        </w:rPr>
      </w:pPr>
      <w:r w:rsidRPr="007D36F4">
        <w:rPr>
          <w:b/>
          <w:bCs/>
          <w:sz w:val="22"/>
          <w:szCs w:val="22"/>
        </w:rPr>
        <w:t>DZ.</w:t>
      </w:r>
      <w:r w:rsidR="00B739E7">
        <w:rPr>
          <w:b/>
          <w:bCs/>
          <w:sz w:val="22"/>
          <w:szCs w:val="22"/>
        </w:rPr>
        <w:t>852</w:t>
      </w:r>
    </w:p>
    <w:p w:rsidR="00CA0491" w:rsidRDefault="00CA0491" w:rsidP="00CA0491">
      <w:pPr>
        <w:jc w:val="both"/>
        <w:rPr>
          <w:bCs/>
          <w:sz w:val="22"/>
          <w:szCs w:val="22"/>
        </w:rPr>
      </w:pPr>
      <w:r w:rsidRPr="007D36F4">
        <w:rPr>
          <w:bCs/>
          <w:sz w:val="22"/>
          <w:szCs w:val="22"/>
        </w:rPr>
        <w:t>Dokonuje się przesun</w:t>
      </w:r>
      <w:r>
        <w:rPr>
          <w:bCs/>
          <w:sz w:val="22"/>
          <w:szCs w:val="22"/>
        </w:rPr>
        <w:t>ięcia planu wydatków w rozdziale</w:t>
      </w:r>
      <w:r w:rsidRPr="007D36F4">
        <w:rPr>
          <w:bCs/>
          <w:sz w:val="22"/>
          <w:szCs w:val="22"/>
        </w:rPr>
        <w:t xml:space="preserve"> </w:t>
      </w:r>
      <w:r w:rsidR="00B739E7">
        <w:rPr>
          <w:bCs/>
          <w:sz w:val="22"/>
          <w:szCs w:val="22"/>
        </w:rPr>
        <w:t>85212,85219 i 85295</w:t>
      </w:r>
      <w:r w:rsidRPr="007D36F4">
        <w:rPr>
          <w:bCs/>
          <w:sz w:val="22"/>
          <w:szCs w:val="22"/>
        </w:rPr>
        <w:t xml:space="preserve"> między paragrafami w celu prawidłowej realizacji budżetu.</w:t>
      </w:r>
    </w:p>
    <w:p w:rsidR="00B65C53" w:rsidRDefault="00B65C53" w:rsidP="00B65C53">
      <w:pPr>
        <w:jc w:val="both"/>
        <w:rPr>
          <w:bCs/>
          <w:sz w:val="22"/>
          <w:szCs w:val="22"/>
        </w:rPr>
      </w:pPr>
    </w:p>
    <w:p w:rsidR="00B65C53" w:rsidRDefault="00B65C53" w:rsidP="00610B1D">
      <w:pPr>
        <w:jc w:val="both"/>
        <w:rPr>
          <w:bCs/>
          <w:sz w:val="22"/>
          <w:szCs w:val="22"/>
        </w:rPr>
      </w:pPr>
    </w:p>
    <w:sectPr w:rsidR="00B65C53" w:rsidSect="00BD08FE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00F21"/>
    <w:rsid w:val="000045F8"/>
    <w:rsid w:val="00005D6F"/>
    <w:rsid w:val="00017BF7"/>
    <w:rsid w:val="00023B8F"/>
    <w:rsid w:val="00026491"/>
    <w:rsid w:val="00051F3B"/>
    <w:rsid w:val="00060EAA"/>
    <w:rsid w:val="00061C7A"/>
    <w:rsid w:val="00081AF1"/>
    <w:rsid w:val="00083827"/>
    <w:rsid w:val="00084A69"/>
    <w:rsid w:val="000A0727"/>
    <w:rsid w:val="000A69EB"/>
    <w:rsid w:val="000B13AD"/>
    <w:rsid w:val="000B1CDD"/>
    <w:rsid w:val="000B4702"/>
    <w:rsid w:val="000B4901"/>
    <w:rsid w:val="000D27DD"/>
    <w:rsid w:val="000F1C66"/>
    <w:rsid w:val="00103C67"/>
    <w:rsid w:val="00106828"/>
    <w:rsid w:val="001107BA"/>
    <w:rsid w:val="001120E8"/>
    <w:rsid w:val="00114484"/>
    <w:rsid w:val="001207C1"/>
    <w:rsid w:val="00121949"/>
    <w:rsid w:val="00121E8F"/>
    <w:rsid w:val="00142A6D"/>
    <w:rsid w:val="00143D18"/>
    <w:rsid w:val="00160D12"/>
    <w:rsid w:val="00184A1A"/>
    <w:rsid w:val="00192EB9"/>
    <w:rsid w:val="00193A27"/>
    <w:rsid w:val="0019610A"/>
    <w:rsid w:val="00196607"/>
    <w:rsid w:val="001B1092"/>
    <w:rsid w:val="001C18EE"/>
    <w:rsid w:val="001C7017"/>
    <w:rsid w:val="001D01C6"/>
    <w:rsid w:val="001D4A74"/>
    <w:rsid w:val="001D7F11"/>
    <w:rsid w:val="001D7F2B"/>
    <w:rsid w:val="001F0EBD"/>
    <w:rsid w:val="00206663"/>
    <w:rsid w:val="00220E33"/>
    <w:rsid w:val="002211CF"/>
    <w:rsid w:val="00236489"/>
    <w:rsid w:val="00241407"/>
    <w:rsid w:val="002464CC"/>
    <w:rsid w:val="00255712"/>
    <w:rsid w:val="0025585C"/>
    <w:rsid w:val="002570A4"/>
    <w:rsid w:val="00261D45"/>
    <w:rsid w:val="002640E8"/>
    <w:rsid w:val="0027083A"/>
    <w:rsid w:val="00272F3C"/>
    <w:rsid w:val="00286805"/>
    <w:rsid w:val="002951B0"/>
    <w:rsid w:val="002A1F26"/>
    <w:rsid w:val="002C0B30"/>
    <w:rsid w:val="002C1EBF"/>
    <w:rsid w:val="002D3BA3"/>
    <w:rsid w:val="002D5489"/>
    <w:rsid w:val="002E2296"/>
    <w:rsid w:val="002E68B8"/>
    <w:rsid w:val="002F0E91"/>
    <w:rsid w:val="002F4D7A"/>
    <w:rsid w:val="002F74A9"/>
    <w:rsid w:val="0030261C"/>
    <w:rsid w:val="003051DD"/>
    <w:rsid w:val="0031668A"/>
    <w:rsid w:val="003241AA"/>
    <w:rsid w:val="00325C81"/>
    <w:rsid w:val="00333AB8"/>
    <w:rsid w:val="003458CD"/>
    <w:rsid w:val="00346099"/>
    <w:rsid w:val="003571CA"/>
    <w:rsid w:val="003578C1"/>
    <w:rsid w:val="003656A7"/>
    <w:rsid w:val="00366821"/>
    <w:rsid w:val="003774F3"/>
    <w:rsid w:val="003775BD"/>
    <w:rsid w:val="00381105"/>
    <w:rsid w:val="003817A9"/>
    <w:rsid w:val="003916CC"/>
    <w:rsid w:val="00392B80"/>
    <w:rsid w:val="003A599B"/>
    <w:rsid w:val="003A7E03"/>
    <w:rsid w:val="003B154B"/>
    <w:rsid w:val="003B492B"/>
    <w:rsid w:val="003B6A08"/>
    <w:rsid w:val="003D17DC"/>
    <w:rsid w:val="003D2C88"/>
    <w:rsid w:val="003D5287"/>
    <w:rsid w:val="003D7D37"/>
    <w:rsid w:val="003E6509"/>
    <w:rsid w:val="003E6785"/>
    <w:rsid w:val="003F080D"/>
    <w:rsid w:val="003F568C"/>
    <w:rsid w:val="00403549"/>
    <w:rsid w:val="00403EDF"/>
    <w:rsid w:val="0041783C"/>
    <w:rsid w:val="0043117D"/>
    <w:rsid w:val="00441938"/>
    <w:rsid w:val="004469C8"/>
    <w:rsid w:val="00451F29"/>
    <w:rsid w:val="004528E9"/>
    <w:rsid w:val="00455565"/>
    <w:rsid w:val="00456D56"/>
    <w:rsid w:val="00457F29"/>
    <w:rsid w:val="004755DD"/>
    <w:rsid w:val="0048767C"/>
    <w:rsid w:val="004877AB"/>
    <w:rsid w:val="00491281"/>
    <w:rsid w:val="00492241"/>
    <w:rsid w:val="004A3502"/>
    <w:rsid w:val="004E19B4"/>
    <w:rsid w:val="004E25B3"/>
    <w:rsid w:val="004E4BEB"/>
    <w:rsid w:val="004F4956"/>
    <w:rsid w:val="004F78EE"/>
    <w:rsid w:val="0050100A"/>
    <w:rsid w:val="005040B9"/>
    <w:rsid w:val="00505E85"/>
    <w:rsid w:val="005061E2"/>
    <w:rsid w:val="0051156C"/>
    <w:rsid w:val="005263D8"/>
    <w:rsid w:val="00527AB4"/>
    <w:rsid w:val="00530A4E"/>
    <w:rsid w:val="00546B73"/>
    <w:rsid w:val="0054730B"/>
    <w:rsid w:val="00547A43"/>
    <w:rsid w:val="005566EC"/>
    <w:rsid w:val="00560264"/>
    <w:rsid w:val="00574D04"/>
    <w:rsid w:val="00582F24"/>
    <w:rsid w:val="00584AE0"/>
    <w:rsid w:val="00584C9B"/>
    <w:rsid w:val="005863A6"/>
    <w:rsid w:val="00591342"/>
    <w:rsid w:val="00593564"/>
    <w:rsid w:val="005A5451"/>
    <w:rsid w:val="005A676F"/>
    <w:rsid w:val="005B30EA"/>
    <w:rsid w:val="005B50DB"/>
    <w:rsid w:val="005B559E"/>
    <w:rsid w:val="005B6AB3"/>
    <w:rsid w:val="005C0521"/>
    <w:rsid w:val="005E28EF"/>
    <w:rsid w:val="005E467D"/>
    <w:rsid w:val="005F37DA"/>
    <w:rsid w:val="00607066"/>
    <w:rsid w:val="00610B1D"/>
    <w:rsid w:val="0061357D"/>
    <w:rsid w:val="0062466C"/>
    <w:rsid w:val="006366C9"/>
    <w:rsid w:val="00652358"/>
    <w:rsid w:val="00663206"/>
    <w:rsid w:val="006667FE"/>
    <w:rsid w:val="00683851"/>
    <w:rsid w:val="00684714"/>
    <w:rsid w:val="006A2D22"/>
    <w:rsid w:val="006B6755"/>
    <w:rsid w:val="006B79C9"/>
    <w:rsid w:val="006B7E41"/>
    <w:rsid w:val="006C23DB"/>
    <w:rsid w:val="006C4BFD"/>
    <w:rsid w:val="006D11AF"/>
    <w:rsid w:val="006D330E"/>
    <w:rsid w:val="006E20F0"/>
    <w:rsid w:val="006F426D"/>
    <w:rsid w:val="007039F8"/>
    <w:rsid w:val="00710C70"/>
    <w:rsid w:val="00723DC8"/>
    <w:rsid w:val="00760A52"/>
    <w:rsid w:val="0076382A"/>
    <w:rsid w:val="00764E48"/>
    <w:rsid w:val="00777CCF"/>
    <w:rsid w:val="00781510"/>
    <w:rsid w:val="00785217"/>
    <w:rsid w:val="00787B2D"/>
    <w:rsid w:val="007C50B6"/>
    <w:rsid w:val="007D1DED"/>
    <w:rsid w:val="007D36F4"/>
    <w:rsid w:val="007D3C06"/>
    <w:rsid w:val="007E6BC1"/>
    <w:rsid w:val="007F3331"/>
    <w:rsid w:val="00806ABB"/>
    <w:rsid w:val="00813FA1"/>
    <w:rsid w:val="008327B2"/>
    <w:rsid w:val="00843561"/>
    <w:rsid w:val="00847136"/>
    <w:rsid w:val="0084796A"/>
    <w:rsid w:val="008602DA"/>
    <w:rsid w:val="008662A0"/>
    <w:rsid w:val="00870623"/>
    <w:rsid w:val="00871B4B"/>
    <w:rsid w:val="0087439B"/>
    <w:rsid w:val="00893B3F"/>
    <w:rsid w:val="008958BD"/>
    <w:rsid w:val="008A3C29"/>
    <w:rsid w:val="008A759B"/>
    <w:rsid w:val="008B4EFB"/>
    <w:rsid w:val="008C361C"/>
    <w:rsid w:val="008D1E39"/>
    <w:rsid w:val="008D2102"/>
    <w:rsid w:val="008D6789"/>
    <w:rsid w:val="008E6223"/>
    <w:rsid w:val="008F6E82"/>
    <w:rsid w:val="00904A7A"/>
    <w:rsid w:val="00917CEC"/>
    <w:rsid w:val="0092034A"/>
    <w:rsid w:val="00922329"/>
    <w:rsid w:val="00922CA1"/>
    <w:rsid w:val="00923324"/>
    <w:rsid w:val="00924096"/>
    <w:rsid w:val="00924A54"/>
    <w:rsid w:val="009324A1"/>
    <w:rsid w:val="00944116"/>
    <w:rsid w:val="00962CA4"/>
    <w:rsid w:val="0096429C"/>
    <w:rsid w:val="00965198"/>
    <w:rsid w:val="00973308"/>
    <w:rsid w:val="00973976"/>
    <w:rsid w:val="009A5CC7"/>
    <w:rsid w:val="009B20E3"/>
    <w:rsid w:val="009B28A5"/>
    <w:rsid w:val="009B6BCC"/>
    <w:rsid w:val="009C4F2C"/>
    <w:rsid w:val="009C5ADD"/>
    <w:rsid w:val="009D031C"/>
    <w:rsid w:val="009D25F9"/>
    <w:rsid w:val="009E2877"/>
    <w:rsid w:val="009E59A4"/>
    <w:rsid w:val="009F4E85"/>
    <w:rsid w:val="00A0184A"/>
    <w:rsid w:val="00A05E50"/>
    <w:rsid w:val="00A060AE"/>
    <w:rsid w:val="00A10476"/>
    <w:rsid w:val="00A14B9D"/>
    <w:rsid w:val="00A2062F"/>
    <w:rsid w:val="00A208A8"/>
    <w:rsid w:val="00A26C05"/>
    <w:rsid w:val="00A33CDC"/>
    <w:rsid w:val="00A3437D"/>
    <w:rsid w:val="00A51157"/>
    <w:rsid w:val="00A53020"/>
    <w:rsid w:val="00A5359B"/>
    <w:rsid w:val="00A54A47"/>
    <w:rsid w:val="00A66E11"/>
    <w:rsid w:val="00A71CAA"/>
    <w:rsid w:val="00A77E64"/>
    <w:rsid w:val="00A818B6"/>
    <w:rsid w:val="00A861D2"/>
    <w:rsid w:val="00AA46A3"/>
    <w:rsid w:val="00AB05B1"/>
    <w:rsid w:val="00AB19F1"/>
    <w:rsid w:val="00AC0D9F"/>
    <w:rsid w:val="00AC6CAD"/>
    <w:rsid w:val="00AD0AED"/>
    <w:rsid w:val="00AD412A"/>
    <w:rsid w:val="00AF3929"/>
    <w:rsid w:val="00B06757"/>
    <w:rsid w:val="00B1009F"/>
    <w:rsid w:val="00B10B2C"/>
    <w:rsid w:val="00B11071"/>
    <w:rsid w:val="00B11AF3"/>
    <w:rsid w:val="00B120B6"/>
    <w:rsid w:val="00B126DC"/>
    <w:rsid w:val="00B13107"/>
    <w:rsid w:val="00B1406E"/>
    <w:rsid w:val="00B25C2B"/>
    <w:rsid w:val="00B27B0D"/>
    <w:rsid w:val="00B325FC"/>
    <w:rsid w:val="00B345F1"/>
    <w:rsid w:val="00B36765"/>
    <w:rsid w:val="00B65C53"/>
    <w:rsid w:val="00B739E7"/>
    <w:rsid w:val="00B800A9"/>
    <w:rsid w:val="00B83ED8"/>
    <w:rsid w:val="00B86912"/>
    <w:rsid w:val="00BB0AF4"/>
    <w:rsid w:val="00BB19C7"/>
    <w:rsid w:val="00BB3E15"/>
    <w:rsid w:val="00BD08A5"/>
    <w:rsid w:val="00BD08FE"/>
    <w:rsid w:val="00BD4727"/>
    <w:rsid w:val="00BD50E6"/>
    <w:rsid w:val="00BE327A"/>
    <w:rsid w:val="00BE7748"/>
    <w:rsid w:val="00BF4329"/>
    <w:rsid w:val="00BF5D36"/>
    <w:rsid w:val="00C011D0"/>
    <w:rsid w:val="00C03E57"/>
    <w:rsid w:val="00C0454A"/>
    <w:rsid w:val="00C04D9C"/>
    <w:rsid w:val="00C100A9"/>
    <w:rsid w:val="00C1091F"/>
    <w:rsid w:val="00C238D6"/>
    <w:rsid w:val="00C2739A"/>
    <w:rsid w:val="00C36099"/>
    <w:rsid w:val="00C369B6"/>
    <w:rsid w:val="00C376A0"/>
    <w:rsid w:val="00C41044"/>
    <w:rsid w:val="00C42902"/>
    <w:rsid w:val="00C46147"/>
    <w:rsid w:val="00C47901"/>
    <w:rsid w:val="00C53E60"/>
    <w:rsid w:val="00C56E25"/>
    <w:rsid w:val="00C5719A"/>
    <w:rsid w:val="00C726AD"/>
    <w:rsid w:val="00C87EA1"/>
    <w:rsid w:val="00C92A15"/>
    <w:rsid w:val="00CA0491"/>
    <w:rsid w:val="00CA1014"/>
    <w:rsid w:val="00CA3DF5"/>
    <w:rsid w:val="00CA418C"/>
    <w:rsid w:val="00CA5928"/>
    <w:rsid w:val="00CA5C19"/>
    <w:rsid w:val="00CB389F"/>
    <w:rsid w:val="00CD11E6"/>
    <w:rsid w:val="00CD3FAF"/>
    <w:rsid w:val="00D00179"/>
    <w:rsid w:val="00D05D40"/>
    <w:rsid w:val="00D07749"/>
    <w:rsid w:val="00D176D3"/>
    <w:rsid w:val="00D221F3"/>
    <w:rsid w:val="00D22DA6"/>
    <w:rsid w:val="00D25F58"/>
    <w:rsid w:val="00D35C51"/>
    <w:rsid w:val="00D360F7"/>
    <w:rsid w:val="00D367C5"/>
    <w:rsid w:val="00D41448"/>
    <w:rsid w:val="00D44CDB"/>
    <w:rsid w:val="00D53926"/>
    <w:rsid w:val="00D54A02"/>
    <w:rsid w:val="00D63EAB"/>
    <w:rsid w:val="00D645E8"/>
    <w:rsid w:val="00D703C6"/>
    <w:rsid w:val="00D94E10"/>
    <w:rsid w:val="00DC0DF7"/>
    <w:rsid w:val="00DC5A44"/>
    <w:rsid w:val="00DD1DAA"/>
    <w:rsid w:val="00E03FA6"/>
    <w:rsid w:val="00E04B0B"/>
    <w:rsid w:val="00E062A0"/>
    <w:rsid w:val="00E077FB"/>
    <w:rsid w:val="00E1492A"/>
    <w:rsid w:val="00E21393"/>
    <w:rsid w:val="00E23C04"/>
    <w:rsid w:val="00E24FF8"/>
    <w:rsid w:val="00E40C5F"/>
    <w:rsid w:val="00E43686"/>
    <w:rsid w:val="00E46339"/>
    <w:rsid w:val="00E84D65"/>
    <w:rsid w:val="00E87E57"/>
    <w:rsid w:val="00E918C7"/>
    <w:rsid w:val="00E9703C"/>
    <w:rsid w:val="00EA0FD7"/>
    <w:rsid w:val="00EA231F"/>
    <w:rsid w:val="00EC5BA8"/>
    <w:rsid w:val="00EC6B58"/>
    <w:rsid w:val="00ED7D6E"/>
    <w:rsid w:val="00EE1581"/>
    <w:rsid w:val="00EE5DFE"/>
    <w:rsid w:val="00EE60BA"/>
    <w:rsid w:val="00EF02C8"/>
    <w:rsid w:val="00EF3DF4"/>
    <w:rsid w:val="00F028EA"/>
    <w:rsid w:val="00F04EE4"/>
    <w:rsid w:val="00F2783E"/>
    <w:rsid w:val="00F27B6D"/>
    <w:rsid w:val="00F55AEB"/>
    <w:rsid w:val="00F563CF"/>
    <w:rsid w:val="00F629FF"/>
    <w:rsid w:val="00F6638B"/>
    <w:rsid w:val="00F70788"/>
    <w:rsid w:val="00F71344"/>
    <w:rsid w:val="00F72F5F"/>
    <w:rsid w:val="00F74DAB"/>
    <w:rsid w:val="00F755BE"/>
    <w:rsid w:val="00F80C91"/>
    <w:rsid w:val="00F87185"/>
    <w:rsid w:val="00F9167B"/>
    <w:rsid w:val="00F92AD2"/>
    <w:rsid w:val="00F92EF4"/>
    <w:rsid w:val="00F956B6"/>
    <w:rsid w:val="00FA58A6"/>
    <w:rsid w:val="00FB0494"/>
    <w:rsid w:val="00FC735C"/>
    <w:rsid w:val="00FE28B5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BA9F-D93F-4185-8244-6449103E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3</cp:revision>
  <cp:lastPrinted>2015-06-16T07:28:00Z</cp:lastPrinted>
  <dcterms:created xsi:type="dcterms:W3CDTF">2015-06-16T06:37:00Z</dcterms:created>
  <dcterms:modified xsi:type="dcterms:W3CDTF">2015-06-16T08:29:00Z</dcterms:modified>
</cp:coreProperties>
</file>