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9F" w:rsidRDefault="006A6E9F" w:rsidP="00E0062E">
      <w:pPr>
        <w:rPr>
          <w:b/>
          <w:sz w:val="24"/>
          <w:szCs w:val="24"/>
        </w:rPr>
      </w:pPr>
    </w:p>
    <w:p w:rsidR="006A6E9F" w:rsidRDefault="00297B94" w:rsidP="006A6E9F">
      <w:pPr>
        <w:jc w:val="center"/>
        <w:rPr>
          <w:b/>
          <w:sz w:val="24"/>
          <w:szCs w:val="24"/>
        </w:rPr>
      </w:pPr>
      <w:r>
        <w:rPr>
          <w:b/>
          <w:sz w:val="24"/>
          <w:szCs w:val="24"/>
        </w:rPr>
        <w:t xml:space="preserve">UCHWAŁA Nr XXXV / 307 / </w:t>
      </w:r>
      <w:r w:rsidR="006A6E9F">
        <w:rPr>
          <w:b/>
          <w:sz w:val="24"/>
          <w:szCs w:val="24"/>
        </w:rPr>
        <w:t>17</w:t>
      </w:r>
    </w:p>
    <w:p w:rsidR="006A6E9F" w:rsidRPr="00382D09" w:rsidRDefault="006A6E9F" w:rsidP="006A6E9F">
      <w:pPr>
        <w:spacing w:after="120"/>
        <w:jc w:val="center"/>
        <w:rPr>
          <w:b/>
          <w:sz w:val="24"/>
          <w:szCs w:val="24"/>
        </w:rPr>
      </w:pPr>
      <w:r>
        <w:rPr>
          <w:b/>
          <w:sz w:val="24"/>
          <w:szCs w:val="24"/>
        </w:rPr>
        <w:t>RADY GMINY CHEŁMŻA</w:t>
      </w:r>
    </w:p>
    <w:p w:rsidR="006A6E9F" w:rsidRPr="00382D09" w:rsidRDefault="006A6E9F" w:rsidP="006A6E9F">
      <w:pPr>
        <w:jc w:val="center"/>
        <w:rPr>
          <w:sz w:val="24"/>
          <w:szCs w:val="24"/>
        </w:rPr>
      </w:pPr>
      <w:r w:rsidRPr="00382D09">
        <w:rPr>
          <w:sz w:val="24"/>
          <w:szCs w:val="24"/>
        </w:rPr>
        <w:t>z dnia</w:t>
      </w:r>
      <w:r>
        <w:rPr>
          <w:sz w:val="24"/>
          <w:szCs w:val="24"/>
        </w:rPr>
        <w:t xml:space="preserve"> 26 października</w:t>
      </w:r>
      <w:r w:rsidRPr="00382D09">
        <w:rPr>
          <w:sz w:val="24"/>
          <w:szCs w:val="24"/>
        </w:rPr>
        <w:t xml:space="preserve"> 20</w:t>
      </w:r>
      <w:r>
        <w:rPr>
          <w:sz w:val="24"/>
          <w:szCs w:val="24"/>
        </w:rPr>
        <w:t xml:space="preserve">17 </w:t>
      </w:r>
      <w:r w:rsidRPr="00382D09">
        <w:rPr>
          <w:sz w:val="24"/>
          <w:szCs w:val="24"/>
        </w:rPr>
        <w:t xml:space="preserve">r. </w:t>
      </w:r>
    </w:p>
    <w:p w:rsidR="006A6E9F" w:rsidRPr="00382D09" w:rsidRDefault="006A6E9F" w:rsidP="006A6E9F">
      <w:pPr>
        <w:rPr>
          <w:b/>
          <w:sz w:val="24"/>
          <w:szCs w:val="24"/>
        </w:rPr>
      </w:pPr>
    </w:p>
    <w:p w:rsidR="006A6E9F" w:rsidRPr="00382D09" w:rsidRDefault="006A6E9F" w:rsidP="006A6E9F">
      <w:pPr>
        <w:rPr>
          <w:b/>
          <w:sz w:val="24"/>
          <w:szCs w:val="24"/>
        </w:rPr>
      </w:pPr>
    </w:p>
    <w:p w:rsidR="006A6E9F" w:rsidRPr="00382D09" w:rsidRDefault="006A6E9F" w:rsidP="006A6E9F">
      <w:pPr>
        <w:pStyle w:val="Tekstpodstawowywcity2"/>
        <w:ind w:left="0" w:firstLine="0"/>
        <w:jc w:val="center"/>
        <w:rPr>
          <w:rFonts w:ascii="Times New Roman" w:hAnsi="Times New Roman"/>
          <w:b w:val="0"/>
          <w:sz w:val="24"/>
          <w:szCs w:val="24"/>
        </w:rPr>
      </w:pPr>
      <w:r>
        <w:rPr>
          <w:rFonts w:ascii="Times New Roman" w:hAnsi="Times New Roman"/>
          <w:sz w:val="24"/>
          <w:szCs w:val="24"/>
        </w:rPr>
        <w:t>w sprawie przekazania skargi Prokuratora Okręgowego w Toruniu na uchwałę N</w:t>
      </w:r>
      <w:r w:rsidRPr="00382D09">
        <w:rPr>
          <w:rFonts w:ascii="Times New Roman" w:hAnsi="Times New Roman"/>
          <w:sz w:val="24"/>
          <w:szCs w:val="24"/>
        </w:rPr>
        <w:t>r </w:t>
      </w:r>
      <w:r>
        <w:rPr>
          <w:rFonts w:ascii="Times New Roman" w:hAnsi="Times New Roman"/>
          <w:sz w:val="24"/>
          <w:szCs w:val="24"/>
        </w:rPr>
        <w:t xml:space="preserve">XIII/122/2015 Rady Gminy Chełmża </w:t>
      </w:r>
      <w:r w:rsidRPr="00382D09">
        <w:rPr>
          <w:rFonts w:ascii="Times New Roman" w:hAnsi="Times New Roman"/>
          <w:sz w:val="24"/>
          <w:szCs w:val="24"/>
        </w:rPr>
        <w:t xml:space="preserve">z dnia </w:t>
      </w:r>
      <w:r>
        <w:rPr>
          <w:rFonts w:ascii="Times New Roman" w:hAnsi="Times New Roman"/>
          <w:sz w:val="24"/>
          <w:szCs w:val="24"/>
        </w:rPr>
        <w:t xml:space="preserve">17 grudnia 2015 r. </w:t>
      </w:r>
      <w:r w:rsidRPr="00382D09">
        <w:rPr>
          <w:rFonts w:ascii="Times New Roman" w:hAnsi="Times New Roman"/>
          <w:sz w:val="24"/>
          <w:szCs w:val="24"/>
        </w:rPr>
        <w:t xml:space="preserve">w sprawie </w:t>
      </w:r>
      <w:r>
        <w:rPr>
          <w:rFonts w:ascii="Times New Roman" w:hAnsi="Times New Roman"/>
          <w:sz w:val="24"/>
          <w:szCs w:val="24"/>
        </w:rPr>
        <w:t>określenia wzorów formularzy informacji i deklaracji podatkowych do Wojewódzkiego Sądu Administracyjnego w Bydgoszczy.</w:t>
      </w:r>
    </w:p>
    <w:p w:rsidR="006A6E9F" w:rsidRDefault="006A6E9F" w:rsidP="006A6E9F"/>
    <w:p w:rsidR="006A6E9F" w:rsidRDefault="006A6E9F" w:rsidP="006A6E9F"/>
    <w:p w:rsidR="006A6E9F" w:rsidRPr="00BC0296" w:rsidRDefault="006A6E9F" w:rsidP="00BC0296">
      <w:pPr>
        <w:jc w:val="both"/>
        <w:rPr>
          <w:sz w:val="24"/>
          <w:szCs w:val="24"/>
        </w:rPr>
      </w:pPr>
      <w:r w:rsidRPr="00791B6F">
        <w:rPr>
          <w:sz w:val="24"/>
          <w:szCs w:val="24"/>
        </w:rPr>
        <w:t xml:space="preserve">          </w:t>
      </w:r>
      <w:r w:rsidR="00BC0296">
        <w:rPr>
          <w:sz w:val="24"/>
          <w:szCs w:val="24"/>
        </w:rPr>
        <w:tab/>
      </w:r>
      <w:r w:rsidR="007470F5">
        <w:rPr>
          <w:sz w:val="24"/>
          <w:szCs w:val="24"/>
        </w:rPr>
        <w:t>Na podstawie art. 18 ust. 2 pkt 15</w:t>
      </w:r>
      <w:r w:rsidRPr="004F6DBE">
        <w:rPr>
          <w:sz w:val="24"/>
          <w:szCs w:val="24"/>
        </w:rPr>
        <w:t xml:space="preserve"> ustawy z dnia 8 marca 1990 r. o sa</w:t>
      </w:r>
      <w:r w:rsidR="00E360FA">
        <w:rPr>
          <w:sz w:val="24"/>
          <w:szCs w:val="24"/>
        </w:rPr>
        <w:t>morządzie gminnym (Dz.</w:t>
      </w:r>
      <w:r>
        <w:rPr>
          <w:sz w:val="24"/>
          <w:szCs w:val="24"/>
        </w:rPr>
        <w:t>U. z 2017</w:t>
      </w:r>
      <w:r w:rsidRPr="004F6DBE">
        <w:rPr>
          <w:sz w:val="24"/>
          <w:szCs w:val="24"/>
        </w:rPr>
        <w:t xml:space="preserve"> r. poz.</w:t>
      </w:r>
      <w:r w:rsidR="00BC0296">
        <w:rPr>
          <w:sz w:val="24"/>
          <w:szCs w:val="24"/>
        </w:rPr>
        <w:t xml:space="preserve"> 1875</w:t>
      </w:r>
      <w:r w:rsidRPr="009C079F">
        <w:rPr>
          <w:sz w:val="24"/>
          <w:szCs w:val="24"/>
        </w:rPr>
        <w:t>)</w:t>
      </w:r>
      <w:r w:rsidR="00BC0296">
        <w:rPr>
          <w:sz w:val="24"/>
          <w:szCs w:val="24"/>
        </w:rPr>
        <w:t>,</w:t>
      </w:r>
      <w:r w:rsidRPr="009C079F">
        <w:rPr>
          <w:sz w:val="24"/>
          <w:szCs w:val="24"/>
        </w:rPr>
        <w:t xml:space="preserve"> </w:t>
      </w:r>
      <w:r w:rsidRPr="004F6DBE">
        <w:rPr>
          <w:sz w:val="24"/>
          <w:szCs w:val="24"/>
        </w:rPr>
        <w:t>art. 54 § 2 ustawy z dnia 30 sierpnia 2002 r. Prawo o postępowaniu przed sądami administracyjnymi (Dz.</w:t>
      </w:r>
      <w:r w:rsidR="00E360FA">
        <w:rPr>
          <w:sz w:val="24"/>
          <w:szCs w:val="24"/>
        </w:rPr>
        <w:t>U.</w:t>
      </w:r>
      <w:r w:rsidR="00CA2967">
        <w:rPr>
          <w:sz w:val="24"/>
          <w:szCs w:val="24"/>
        </w:rPr>
        <w:t xml:space="preserve"> z 2017 r. poz. 1369 i </w:t>
      </w:r>
      <w:r w:rsidR="00BC0296">
        <w:rPr>
          <w:sz w:val="24"/>
          <w:szCs w:val="24"/>
        </w:rPr>
        <w:t>1370</w:t>
      </w:r>
      <w:r>
        <w:rPr>
          <w:sz w:val="24"/>
          <w:szCs w:val="24"/>
        </w:rPr>
        <w:t>) uchwala się</w:t>
      </w:r>
      <w:r w:rsidR="00BC0296">
        <w:rPr>
          <w:sz w:val="24"/>
          <w:szCs w:val="24"/>
        </w:rPr>
        <w:t>, co następuje:</w:t>
      </w:r>
    </w:p>
    <w:p w:rsidR="006A6E9F" w:rsidRDefault="006A6E9F" w:rsidP="006A6E9F">
      <w:pPr>
        <w:pStyle w:val="Tekstpodstawowywcity2"/>
        <w:ind w:left="0" w:firstLine="0"/>
        <w:rPr>
          <w:rFonts w:ascii="Times New Roman" w:hAnsi="Times New Roman"/>
          <w:b w:val="0"/>
          <w:sz w:val="24"/>
          <w:szCs w:val="24"/>
        </w:rPr>
      </w:pPr>
    </w:p>
    <w:p w:rsidR="006A6E9F" w:rsidRPr="00C31F64" w:rsidRDefault="006A6E9F" w:rsidP="006A6E9F">
      <w:pPr>
        <w:pStyle w:val="Tekstpodstawowywcity2"/>
        <w:ind w:left="0" w:firstLine="0"/>
        <w:rPr>
          <w:rFonts w:ascii="Times New Roman" w:hAnsi="Times New Roman"/>
          <w:b w:val="0"/>
          <w:sz w:val="24"/>
          <w:szCs w:val="24"/>
        </w:rPr>
      </w:pPr>
      <w:r>
        <w:rPr>
          <w:rFonts w:ascii="Times New Roman" w:hAnsi="Times New Roman"/>
          <w:b w:val="0"/>
          <w:sz w:val="24"/>
          <w:szCs w:val="24"/>
        </w:rPr>
        <w:t xml:space="preserve">      </w:t>
      </w:r>
      <w:r w:rsidR="00BC0296">
        <w:rPr>
          <w:rFonts w:ascii="Times New Roman" w:hAnsi="Times New Roman"/>
          <w:b w:val="0"/>
          <w:sz w:val="24"/>
          <w:szCs w:val="24"/>
        </w:rPr>
        <w:tab/>
      </w:r>
      <w:r w:rsidRPr="00791B6F">
        <w:rPr>
          <w:rFonts w:ascii="Times New Roman" w:hAnsi="Times New Roman"/>
          <w:sz w:val="24"/>
          <w:szCs w:val="24"/>
        </w:rPr>
        <w:t>§ 1</w:t>
      </w:r>
      <w:r w:rsidRPr="000B5506">
        <w:rPr>
          <w:rFonts w:ascii="Times New Roman" w:hAnsi="Times New Roman"/>
          <w:sz w:val="24"/>
          <w:szCs w:val="24"/>
        </w:rPr>
        <w:t>.</w:t>
      </w:r>
      <w:r>
        <w:rPr>
          <w:rFonts w:ascii="Times New Roman" w:hAnsi="Times New Roman"/>
          <w:b w:val="0"/>
          <w:sz w:val="24"/>
          <w:szCs w:val="24"/>
        </w:rPr>
        <w:t xml:space="preserve"> Przekazać </w:t>
      </w:r>
      <w:r w:rsidR="007470F5">
        <w:rPr>
          <w:rFonts w:ascii="Times New Roman" w:hAnsi="Times New Roman"/>
          <w:b w:val="0"/>
          <w:sz w:val="24"/>
          <w:szCs w:val="24"/>
        </w:rPr>
        <w:t xml:space="preserve">do Wojewódzkiego Sądu Administracyjnego w Bydgoszczy </w:t>
      </w:r>
      <w:r>
        <w:rPr>
          <w:rFonts w:ascii="Times New Roman" w:hAnsi="Times New Roman"/>
          <w:b w:val="0"/>
          <w:sz w:val="24"/>
          <w:szCs w:val="24"/>
        </w:rPr>
        <w:t>skargę Prokuratora Okręgowego w Toruniu</w:t>
      </w:r>
      <w:r w:rsidRPr="00382D09">
        <w:rPr>
          <w:rFonts w:ascii="Times New Roman" w:hAnsi="Times New Roman"/>
          <w:b w:val="0"/>
          <w:sz w:val="24"/>
          <w:szCs w:val="24"/>
        </w:rPr>
        <w:t xml:space="preserve"> </w:t>
      </w:r>
      <w:r>
        <w:rPr>
          <w:rFonts w:ascii="Times New Roman" w:hAnsi="Times New Roman"/>
          <w:b w:val="0"/>
          <w:sz w:val="24"/>
          <w:szCs w:val="24"/>
        </w:rPr>
        <w:t xml:space="preserve">z dnia 18 października 2017 r. </w:t>
      </w:r>
      <w:r w:rsidRPr="00382D09">
        <w:rPr>
          <w:rFonts w:ascii="Times New Roman" w:hAnsi="Times New Roman"/>
          <w:b w:val="0"/>
          <w:sz w:val="24"/>
          <w:szCs w:val="24"/>
        </w:rPr>
        <w:t xml:space="preserve">na uchwałę </w:t>
      </w:r>
      <w:r>
        <w:rPr>
          <w:rFonts w:ascii="Times New Roman" w:hAnsi="Times New Roman"/>
          <w:b w:val="0"/>
          <w:sz w:val="24"/>
          <w:szCs w:val="24"/>
        </w:rPr>
        <w:t xml:space="preserve">Nr XIII/122/2015 Rady Gminy Chełmża z dnia 17 </w:t>
      </w:r>
      <w:r w:rsidR="00BC0296">
        <w:rPr>
          <w:rFonts w:ascii="Times New Roman" w:hAnsi="Times New Roman"/>
          <w:b w:val="0"/>
          <w:sz w:val="24"/>
          <w:szCs w:val="24"/>
        </w:rPr>
        <w:t>grudnia</w:t>
      </w:r>
      <w:r>
        <w:rPr>
          <w:rFonts w:ascii="Times New Roman" w:hAnsi="Times New Roman"/>
          <w:b w:val="0"/>
          <w:sz w:val="24"/>
          <w:szCs w:val="24"/>
        </w:rPr>
        <w:t xml:space="preserve"> 20</w:t>
      </w:r>
      <w:r w:rsidR="00BC0296">
        <w:rPr>
          <w:rFonts w:ascii="Times New Roman" w:hAnsi="Times New Roman"/>
          <w:b w:val="0"/>
          <w:sz w:val="24"/>
          <w:szCs w:val="24"/>
        </w:rPr>
        <w:t>15</w:t>
      </w:r>
      <w:r>
        <w:rPr>
          <w:rFonts w:ascii="Times New Roman" w:hAnsi="Times New Roman"/>
          <w:b w:val="0"/>
          <w:sz w:val="24"/>
          <w:szCs w:val="24"/>
        </w:rPr>
        <w:t xml:space="preserve"> r.</w:t>
      </w:r>
      <w:r w:rsidRPr="00382D09">
        <w:rPr>
          <w:rFonts w:ascii="Times New Roman" w:hAnsi="Times New Roman"/>
          <w:b w:val="0"/>
          <w:sz w:val="24"/>
          <w:szCs w:val="24"/>
        </w:rPr>
        <w:t xml:space="preserve"> w sprawie </w:t>
      </w:r>
      <w:r w:rsidR="00BC0296">
        <w:rPr>
          <w:rFonts w:ascii="Times New Roman" w:hAnsi="Times New Roman"/>
          <w:b w:val="0"/>
          <w:sz w:val="24"/>
          <w:szCs w:val="24"/>
        </w:rPr>
        <w:t xml:space="preserve">określenia wzorów formularzy informacji i deklaracji podatkowych </w:t>
      </w:r>
      <w:r>
        <w:rPr>
          <w:rFonts w:ascii="Times New Roman" w:hAnsi="Times New Roman"/>
          <w:b w:val="0"/>
          <w:sz w:val="24"/>
          <w:szCs w:val="24"/>
        </w:rPr>
        <w:t>(</w:t>
      </w:r>
      <w:proofErr w:type="spellStart"/>
      <w:r>
        <w:rPr>
          <w:rFonts w:ascii="Times New Roman" w:hAnsi="Times New Roman"/>
          <w:b w:val="0"/>
          <w:sz w:val="24"/>
          <w:szCs w:val="24"/>
        </w:rPr>
        <w:t>Dz.</w:t>
      </w:r>
      <w:r w:rsidR="00CA2967">
        <w:rPr>
          <w:rFonts w:ascii="Times New Roman" w:hAnsi="Times New Roman"/>
          <w:b w:val="0"/>
          <w:sz w:val="24"/>
          <w:szCs w:val="24"/>
        </w:rPr>
        <w:t>Urz</w:t>
      </w:r>
      <w:proofErr w:type="spellEnd"/>
      <w:r w:rsidR="00CA2967">
        <w:rPr>
          <w:rFonts w:ascii="Times New Roman" w:hAnsi="Times New Roman"/>
          <w:b w:val="0"/>
          <w:sz w:val="24"/>
          <w:szCs w:val="24"/>
        </w:rPr>
        <w:t>. Woj. Kuj. – Pom. z </w:t>
      </w:r>
      <w:r w:rsidR="00BC0296">
        <w:rPr>
          <w:rFonts w:ascii="Times New Roman" w:hAnsi="Times New Roman"/>
          <w:b w:val="0"/>
          <w:sz w:val="24"/>
          <w:szCs w:val="24"/>
        </w:rPr>
        <w:t>2015 r. poz. 4705)</w:t>
      </w:r>
      <w:r w:rsidRPr="00C31F64">
        <w:rPr>
          <w:rFonts w:ascii="Times New Roman" w:hAnsi="Times New Roman"/>
          <w:b w:val="0"/>
          <w:sz w:val="24"/>
          <w:szCs w:val="24"/>
        </w:rPr>
        <w:t>.</w:t>
      </w:r>
    </w:p>
    <w:p w:rsidR="006A6E9F" w:rsidRPr="00C31F64" w:rsidRDefault="006A6E9F" w:rsidP="006A6E9F">
      <w:pPr>
        <w:tabs>
          <w:tab w:val="left" w:pos="680"/>
        </w:tabs>
        <w:rPr>
          <w:sz w:val="24"/>
          <w:szCs w:val="24"/>
        </w:rPr>
      </w:pPr>
    </w:p>
    <w:p w:rsidR="006A6E9F" w:rsidRPr="00382D09" w:rsidRDefault="006A6E9F" w:rsidP="006A6E9F">
      <w:pPr>
        <w:tabs>
          <w:tab w:val="left" w:pos="680"/>
        </w:tabs>
        <w:jc w:val="both"/>
        <w:rPr>
          <w:sz w:val="24"/>
          <w:szCs w:val="24"/>
        </w:rPr>
      </w:pPr>
      <w:r w:rsidRPr="00C31F64">
        <w:rPr>
          <w:sz w:val="24"/>
          <w:szCs w:val="24"/>
        </w:rPr>
        <w:t xml:space="preserve">      </w:t>
      </w:r>
      <w:r w:rsidR="00BC0296">
        <w:rPr>
          <w:sz w:val="24"/>
          <w:szCs w:val="24"/>
        </w:rPr>
        <w:tab/>
      </w:r>
      <w:r w:rsidRPr="00C31F64">
        <w:rPr>
          <w:b/>
          <w:sz w:val="24"/>
          <w:szCs w:val="24"/>
        </w:rPr>
        <w:t>§ 2</w:t>
      </w:r>
      <w:r w:rsidRPr="000B5506">
        <w:rPr>
          <w:b/>
          <w:sz w:val="24"/>
          <w:szCs w:val="24"/>
        </w:rPr>
        <w:t xml:space="preserve">. </w:t>
      </w:r>
      <w:r w:rsidRPr="00C31F64">
        <w:rPr>
          <w:sz w:val="24"/>
          <w:szCs w:val="24"/>
        </w:rPr>
        <w:t xml:space="preserve">Upoważnia się Wójta Gminy </w:t>
      </w:r>
      <w:r w:rsidR="00E360FA">
        <w:rPr>
          <w:sz w:val="24"/>
          <w:szCs w:val="24"/>
        </w:rPr>
        <w:t>Chełmża</w:t>
      </w:r>
      <w:r w:rsidRPr="00C31F64">
        <w:rPr>
          <w:sz w:val="24"/>
          <w:szCs w:val="24"/>
        </w:rPr>
        <w:t xml:space="preserve"> do udzi</w:t>
      </w:r>
      <w:r w:rsidR="00EB528F">
        <w:rPr>
          <w:sz w:val="24"/>
          <w:szCs w:val="24"/>
        </w:rPr>
        <w:t>elenia odpowiedzi na skargę,</w:t>
      </w:r>
      <w:r w:rsidRPr="00C31F64">
        <w:rPr>
          <w:sz w:val="24"/>
          <w:szCs w:val="24"/>
        </w:rPr>
        <w:t xml:space="preserve"> reprezentowania Rady Gminy w postępowaniu przed</w:t>
      </w:r>
      <w:r>
        <w:rPr>
          <w:sz w:val="24"/>
          <w:szCs w:val="24"/>
        </w:rPr>
        <w:t xml:space="preserve"> sądami administracyjnymi</w:t>
      </w:r>
      <w:r w:rsidR="00CA2967">
        <w:rPr>
          <w:sz w:val="24"/>
          <w:szCs w:val="24"/>
        </w:rPr>
        <w:t xml:space="preserve"> oraz </w:t>
      </w:r>
      <w:r w:rsidR="00EB528F">
        <w:rPr>
          <w:sz w:val="24"/>
          <w:szCs w:val="24"/>
        </w:rPr>
        <w:t>ustanawiania pełnomocników</w:t>
      </w:r>
      <w:r>
        <w:rPr>
          <w:sz w:val="24"/>
          <w:szCs w:val="24"/>
        </w:rPr>
        <w:t xml:space="preserve">. </w:t>
      </w:r>
    </w:p>
    <w:p w:rsidR="006A6E9F" w:rsidRDefault="006A6E9F" w:rsidP="006A6E9F">
      <w:pPr>
        <w:tabs>
          <w:tab w:val="left" w:pos="680"/>
        </w:tabs>
        <w:rPr>
          <w:sz w:val="24"/>
          <w:szCs w:val="24"/>
        </w:rPr>
      </w:pPr>
    </w:p>
    <w:p w:rsidR="006A6E9F" w:rsidRPr="00382D09" w:rsidRDefault="006A6E9F" w:rsidP="006A6E9F">
      <w:pPr>
        <w:tabs>
          <w:tab w:val="left" w:pos="680"/>
        </w:tabs>
        <w:rPr>
          <w:sz w:val="24"/>
          <w:szCs w:val="24"/>
        </w:rPr>
      </w:pPr>
      <w:r w:rsidRPr="00791B6F">
        <w:rPr>
          <w:b/>
          <w:sz w:val="24"/>
          <w:szCs w:val="24"/>
        </w:rPr>
        <w:t xml:space="preserve">      </w:t>
      </w:r>
      <w:r w:rsidR="00BC0296">
        <w:rPr>
          <w:b/>
          <w:sz w:val="24"/>
          <w:szCs w:val="24"/>
        </w:rPr>
        <w:tab/>
      </w:r>
      <w:r w:rsidRPr="00791B6F">
        <w:rPr>
          <w:b/>
          <w:sz w:val="24"/>
          <w:szCs w:val="24"/>
        </w:rPr>
        <w:t>§ 3</w:t>
      </w:r>
      <w:r w:rsidRPr="000B5506">
        <w:rPr>
          <w:b/>
          <w:sz w:val="24"/>
          <w:szCs w:val="24"/>
        </w:rPr>
        <w:t xml:space="preserve">. </w:t>
      </w:r>
      <w:r w:rsidRPr="00382D09">
        <w:rPr>
          <w:sz w:val="24"/>
          <w:szCs w:val="24"/>
        </w:rPr>
        <w:t>Uchwała wchodzi w życie z dniem podjęcia.</w:t>
      </w:r>
    </w:p>
    <w:p w:rsidR="006A6E9F" w:rsidRPr="00382D09" w:rsidRDefault="006A6E9F" w:rsidP="006A6E9F">
      <w:pPr>
        <w:tabs>
          <w:tab w:val="left" w:pos="680"/>
        </w:tabs>
        <w:ind w:left="407"/>
        <w:rPr>
          <w:sz w:val="24"/>
          <w:szCs w:val="24"/>
        </w:rPr>
      </w:pPr>
    </w:p>
    <w:p w:rsidR="006A6E9F" w:rsidRDefault="006A6E9F"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Default="00B55117" w:rsidP="006A6E9F">
      <w:pPr>
        <w:tabs>
          <w:tab w:val="left" w:pos="680"/>
        </w:tabs>
        <w:ind w:left="407"/>
        <w:rPr>
          <w:sz w:val="24"/>
          <w:szCs w:val="24"/>
        </w:rPr>
      </w:pPr>
    </w:p>
    <w:p w:rsidR="00B55117" w:rsidRPr="00382D09" w:rsidRDefault="00B55117" w:rsidP="006A6E9F">
      <w:pPr>
        <w:tabs>
          <w:tab w:val="left" w:pos="680"/>
        </w:tabs>
        <w:ind w:left="407"/>
        <w:rPr>
          <w:sz w:val="24"/>
          <w:szCs w:val="24"/>
        </w:rPr>
      </w:pPr>
    </w:p>
    <w:p w:rsidR="006A6E9F" w:rsidRPr="00382D09" w:rsidRDefault="006A6E9F" w:rsidP="006A6E9F">
      <w:pPr>
        <w:tabs>
          <w:tab w:val="left" w:pos="680"/>
        </w:tabs>
        <w:ind w:left="407"/>
        <w:rPr>
          <w:sz w:val="24"/>
          <w:szCs w:val="24"/>
        </w:rPr>
      </w:pPr>
    </w:p>
    <w:p w:rsidR="006A6E9F" w:rsidRPr="00297B94" w:rsidRDefault="006A6E9F" w:rsidP="00297B94">
      <w:pPr>
        <w:pStyle w:val="Nagwek2"/>
        <w:rPr>
          <w:sz w:val="24"/>
          <w:szCs w:val="24"/>
        </w:rPr>
      </w:pPr>
      <w:r w:rsidRPr="00297B94">
        <w:rPr>
          <w:sz w:val="24"/>
          <w:szCs w:val="24"/>
        </w:rPr>
        <w:lastRenderedPageBreak/>
        <w:t>Uzasadnienie</w:t>
      </w:r>
    </w:p>
    <w:p w:rsidR="00297B94" w:rsidRPr="00297B94" w:rsidRDefault="00297B94" w:rsidP="00297B94">
      <w:pPr>
        <w:jc w:val="center"/>
        <w:rPr>
          <w:b/>
          <w:sz w:val="24"/>
          <w:szCs w:val="24"/>
        </w:rPr>
      </w:pPr>
      <w:r w:rsidRPr="00297B94">
        <w:rPr>
          <w:b/>
          <w:sz w:val="24"/>
          <w:szCs w:val="24"/>
        </w:rPr>
        <w:t>do uchwały Nr XXXV / 307 / 17 Rady Gminy Chełmża</w:t>
      </w:r>
    </w:p>
    <w:p w:rsidR="00297B94" w:rsidRPr="00297B94" w:rsidRDefault="00297B94" w:rsidP="00297B94">
      <w:pPr>
        <w:jc w:val="center"/>
        <w:rPr>
          <w:b/>
          <w:sz w:val="24"/>
          <w:szCs w:val="24"/>
        </w:rPr>
      </w:pPr>
      <w:r w:rsidRPr="00297B94">
        <w:rPr>
          <w:b/>
          <w:sz w:val="24"/>
          <w:szCs w:val="24"/>
        </w:rPr>
        <w:t>z dnia 26 października 2017 r.</w:t>
      </w:r>
    </w:p>
    <w:p w:rsidR="00297B94" w:rsidRDefault="00297B94" w:rsidP="00297B94"/>
    <w:p w:rsidR="00297B94" w:rsidRPr="00297B94" w:rsidRDefault="00297B94" w:rsidP="00297B94"/>
    <w:p w:rsidR="00775BEC" w:rsidRDefault="00B55117" w:rsidP="004549E5">
      <w:pPr>
        <w:ind w:firstLine="708"/>
        <w:jc w:val="both"/>
        <w:rPr>
          <w:sz w:val="24"/>
          <w:szCs w:val="24"/>
        </w:rPr>
      </w:pPr>
      <w:r>
        <w:rPr>
          <w:sz w:val="24"/>
          <w:szCs w:val="24"/>
        </w:rPr>
        <w:t xml:space="preserve">W dniu 23 </w:t>
      </w:r>
      <w:r w:rsidR="00EB528F">
        <w:rPr>
          <w:sz w:val="24"/>
          <w:szCs w:val="24"/>
        </w:rPr>
        <w:t xml:space="preserve">października 2017 r. do Urzędu Gminy Chełmża wpłynęła skarga </w:t>
      </w:r>
      <w:r>
        <w:rPr>
          <w:sz w:val="24"/>
          <w:szCs w:val="24"/>
        </w:rPr>
        <w:t>z dnia 18</w:t>
      </w:r>
      <w:r w:rsidR="00FA52A6">
        <w:rPr>
          <w:sz w:val="24"/>
          <w:szCs w:val="24"/>
        </w:rPr>
        <w:t xml:space="preserve"> października 2017 r. </w:t>
      </w:r>
      <w:r w:rsidR="00EB528F" w:rsidRPr="00EB528F">
        <w:rPr>
          <w:sz w:val="24"/>
          <w:szCs w:val="24"/>
        </w:rPr>
        <w:t>Prokurator</w:t>
      </w:r>
      <w:r w:rsidR="00EB528F">
        <w:rPr>
          <w:sz w:val="24"/>
          <w:szCs w:val="24"/>
        </w:rPr>
        <w:t>a Okręgowego</w:t>
      </w:r>
      <w:r w:rsidR="00EB528F" w:rsidRPr="00EB528F">
        <w:rPr>
          <w:sz w:val="24"/>
          <w:szCs w:val="24"/>
        </w:rPr>
        <w:t xml:space="preserve"> w Toruniu</w:t>
      </w:r>
      <w:r w:rsidR="00EB528F">
        <w:rPr>
          <w:sz w:val="24"/>
          <w:szCs w:val="24"/>
        </w:rPr>
        <w:t xml:space="preserve"> </w:t>
      </w:r>
      <w:r w:rsidR="00EB528F" w:rsidRPr="00EB528F">
        <w:rPr>
          <w:sz w:val="24"/>
          <w:szCs w:val="24"/>
        </w:rPr>
        <w:t>do Wojewódzkiego Są</w:t>
      </w:r>
      <w:r w:rsidR="00EB528F">
        <w:rPr>
          <w:sz w:val="24"/>
          <w:szCs w:val="24"/>
        </w:rPr>
        <w:t>du Administracyjnego w Bydgoszczy</w:t>
      </w:r>
      <w:r w:rsidR="00EB528F" w:rsidRPr="00EB528F">
        <w:rPr>
          <w:sz w:val="24"/>
          <w:szCs w:val="24"/>
        </w:rPr>
        <w:t xml:space="preserve"> na uchwałę</w:t>
      </w:r>
      <w:r w:rsidR="00EB528F">
        <w:rPr>
          <w:sz w:val="24"/>
          <w:szCs w:val="24"/>
        </w:rPr>
        <w:t xml:space="preserve"> </w:t>
      </w:r>
      <w:r w:rsidR="00EB528F" w:rsidRPr="00EB528F">
        <w:rPr>
          <w:sz w:val="24"/>
          <w:szCs w:val="24"/>
        </w:rPr>
        <w:t xml:space="preserve">Nr XIII/122/2015 Rady Gminy Chełmża z dnia 17 grudnia 2015 r. w sprawie określenia wzorów formularzy informacji i deklaracji podatkowych. </w:t>
      </w:r>
    </w:p>
    <w:p w:rsidR="00253763" w:rsidRDefault="00775BEC" w:rsidP="004549E5">
      <w:pPr>
        <w:ind w:firstLine="708"/>
        <w:jc w:val="both"/>
        <w:rPr>
          <w:sz w:val="24"/>
          <w:szCs w:val="24"/>
        </w:rPr>
      </w:pPr>
      <w:r>
        <w:rPr>
          <w:sz w:val="24"/>
          <w:szCs w:val="24"/>
        </w:rPr>
        <w:t>S</w:t>
      </w:r>
      <w:r w:rsidR="00EB528F" w:rsidRPr="00EB528F">
        <w:rPr>
          <w:sz w:val="24"/>
          <w:szCs w:val="24"/>
        </w:rPr>
        <w:t>karga dotyczy stwierdzenia nieważności</w:t>
      </w:r>
      <w:r>
        <w:rPr>
          <w:sz w:val="24"/>
          <w:szCs w:val="24"/>
        </w:rPr>
        <w:t xml:space="preserve"> w zaskarżonej uchwale </w:t>
      </w:r>
      <w:r w:rsidR="00253763">
        <w:rPr>
          <w:sz w:val="24"/>
          <w:szCs w:val="24"/>
        </w:rPr>
        <w:t>przepisów:</w:t>
      </w:r>
    </w:p>
    <w:p w:rsidR="00EB528F" w:rsidRDefault="00253763" w:rsidP="004549E5">
      <w:pPr>
        <w:jc w:val="both"/>
        <w:rPr>
          <w:sz w:val="24"/>
          <w:szCs w:val="24"/>
        </w:rPr>
      </w:pPr>
      <w:r>
        <w:rPr>
          <w:sz w:val="24"/>
          <w:szCs w:val="24"/>
        </w:rPr>
        <w:t>W załączniku Nr 1 w rubryce I, w załączniku Nr 2 w</w:t>
      </w:r>
      <w:r w:rsidR="00CA2967">
        <w:rPr>
          <w:sz w:val="24"/>
          <w:szCs w:val="24"/>
        </w:rPr>
        <w:t xml:space="preserve"> rubryce J, w załączniku Nr 5 w </w:t>
      </w:r>
      <w:r>
        <w:rPr>
          <w:sz w:val="24"/>
          <w:szCs w:val="24"/>
        </w:rPr>
        <w:t>rubryce J, w załączniku Nr 6 w rubryce K, w</w:t>
      </w:r>
      <w:r w:rsidR="00CA2967">
        <w:rPr>
          <w:sz w:val="24"/>
          <w:szCs w:val="24"/>
        </w:rPr>
        <w:t xml:space="preserve"> załączniku Nr 8 w rubryce I, w </w:t>
      </w:r>
      <w:r>
        <w:rPr>
          <w:sz w:val="24"/>
          <w:szCs w:val="24"/>
        </w:rPr>
        <w:t xml:space="preserve">załączniku Nr 9 w rubryce J sformułowania: „Oświadczam, że są mi znane przepisy Kodeksu karnego skarbowego o odpowiedzialności </w:t>
      </w:r>
      <w:r w:rsidR="00CA2967">
        <w:rPr>
          <w:sz w:val="24"/>
          <w:szCs w:val="24"/>
        </w:rPr>
        <w:t>za podanie danych niezgodnych z </w:t>
      </w:r>
      <w:r>
        <w:rPr>
          <w:sz w:val="24"/>
          <w:szCs w:val="24"/>
        </w:rPr>
        <w:t>rzeczywistością”.</w:t>
      </w:r>
      <w:r w:rsidR="00EB528F" w:rsidRPr="00EB528F">
        <w:rPr>
          <w:sz w:val="24"/>
          <w:szCs w:val="24"/>
        </w:rPr>
        <w:t xml:space="preserve"> </w:t>
      </w:r>
    </w:p>
    <w:p w:rsidR="004549E5" w:rsidRDefault="004549E5" w:rsidP="004549E5">
      <w:pPr>
        <w:ind w:firstLine="708"/>
        <w:jc w:val="both"/>
        <w:rPr>
          <w:sz w:val="24"/>
          <w:szCs w:val="24"/>
        </w:rPr>
      </w:pPr>
      <w:r>
        <w:rPr>
          <w:sz w:val="24"/>
          <w:szCs w:val="24"/>
        </w:rPr>
        <w:t>S</w:t>
      </w:r>
      <w:r w:rsidR="00253763">
        <w:rPr>
          <w:sz w:val="24"/>
          <w:szCs w:val="24"/>
        </w:rPr>
        <w:t>kargę prokurator oparł na orzecznictwie sądów administracyjnych</w:t>
      </w:r>
      <w:r w:rsidR="00B55117">
        <w:rPr>
          <w:sz w:val="24"/>
          <w:szCs w:val="24"/>
        </w:rPr>
        <w:t>,</w:t>
      </w:r>
      <w:r w:rsidR="00253763">
        <w:rPr>
          <w:sz w:val="24"/>
          <w:szCs w:val="24"/>
        </w:rPr>
        <w:t xml:space="preserve"> które zakwestionowały uprawnienie rady gminy do uchwalenia w formularzu deklaracji pouczenia o odpowiedzialności karnej za </w:t>
      </w:r>
      <w:r>
        <w:rPr>
          <w:sz w:val="24"/>
          <w:szCs w:val="24"/>
        </w:rPr>
        <w:t>składanie fałszywych oświadczeń (wyrok WSA w Łodzi z 4 sierpnia 2017 r., wyrok NSA w Warszawie z dnia 11 lipca 2017 r.</w:t>
      </w:r>
    </w:p>
    <w:p w:rsidR="004549E5" w:rsidRDefault="004549E5" w:rsidP="00B37195">
      <w:pPr>
        <w:ind w:firstLine="708"/>
        <w:jc w:val="both"/>
        <w:rPr>
          <w:sz w:val="24"/>
          <w:szCs w:val="24"/>
        </w:rPr>
      </w:pPr>
      <w:r>
        <w:rPr>
          <w:sz w:val="24"/>
          <w:szCs w:val="24"/>
        </w:rPr>
        <w:t xml:space="preserve">W przedmiotowej sprawie Rada Gminy nie może </w:t>
      </w:r>
      <w:r w:rsidR="00CA2967">
        <w:rPr>
          <w:sz w:val="24"/>
          <w:szCs w:val="24"/>
        </w:rPr>
        <w:t>uwzględnić wniesionej skargi i </w:t>
      </w:r>
      <w:r w:rsidR="0045174E">
        <w:rPr>
          <w:sz w:val="24"/>
          <w:szCs w:val="24"/>
        </w:rPr>
        <w:t>sama podjąć uchwały o uchyleniu zakwestionowanych zapisów</w:t>
      </w:r>
      <w:r w:rsidR="00CA2967">
        <w:rPr>
          <w:sz w:val="24"/>
          <w:szCs w:val="24"/>
        </w:rPr>
        <w:t>.</w:t>
      </w:r>
      <w:bookmarkStart w:id="0" w:name="_GoBack"/>
      <w:bookmarkEnd w:id="0"/>
      <w:r w:rsidR="0045174E">
        <w:rPr>
          <w:sz w:val="24"/>
          <w:szCs w:val="24"/>
        </w:rPr>
        <w:t xml:space="preserve"> </w:t>
      </w:r>
    </w:p>
    <w:p w:rsidR="00253763" w:rsidRPr="004549E5" w:rsidRDefault="0045174E" w:rsidP="00B37195">
      <w:pPr>
        <w:jc w:val="both"/>
        <w:rPr>
          <w:i/>
          <w:sz w:val="24"/>
          <w:szCs w:val="24"/>
        </w:rPr>
      </w:pPr>
      <w:r>
        <w:rPr>
          <w:sz w:val="24"/>
          <w:szCs w:val="24"/>
        </w:rPr>
        <w:t>Wyklucza takie uwzględnienie skargi  postanowienie</w:t>
      </w:r>
      <w:r w:rsidR="004549E5">
        <w:rPr>
          <w:sz w:val="24"/>
          <w:szCs w:val="24"/>
        </w:rPr>
        <w:t xml:space="preserve"> NSA z dnia 29 listopada 2012 r. w sprawie sygn.. akt II FSK 2735/12 </w:t>
      </w:r>
      <w:r>
        <w:rPr>
          <w:sz w:val="24"/>
          <w:szCs w:val="24"/>
        </w:rPr>
        <w:t xml:space="preserve">zgodnie z którym - </w:t>
      </w:r>
      <w:r w:rsidR="004549E5" w:rsidRPr="00E97AD1">
        <w:rPr>
          <w:i/>
          <w:sz w:val="24"/>
          <w:szCs w:val="24"/>
        </w:rPr>
        <w:t>zmiana lub uchylenie zaskarżonej do wojewódzkiego sądu administracyjnego uchwały nie czyni zbędnym rozpoznania skargi na uchwałę i wydania przez wojewódzki sąd administracyjny wyroku, jeżeli zaskarżona uchwała może mieć zastosowanie do sytuacji z okresu poprzedzającego. W tym przypadku nie zachodzi sytuacja autokontroli zaskarżonej uchwały rady gminy w trybie art. 54 § 3 ustawy Prawo o postępowaniu przed sądami administracyjnymi. Uchylenie uchwały przez radę gminy oznacza bowiem wyeliminowanie uchwały ze skut</w:t>
      </w:r>
      <w:r w:rsidR="004549E5" w:rsidRPr="004549E5">
        <w:rPr>
          <w:i/>
          <w:sz w:val="24"/>
          <w:szCs w:val="24"/>
        </w:rPr>
        <w:t>kiem od daty uchylenia</w:t>
      </w:r>
      <w:r w:rsidR="004549E5" w:rsidRPr="00E97AD1">
        <w:rPr>
          <w:i/>
          <w:sz w:val="24"/>
          <w:szCs w:val="24"/>
        </w:rPr>
        <w:t>, natomiast stwierdzenie nieważności uchwały wywołuje skutki od chwili jej pod</w:t>
      </w:r>
      <w:r w:rsidR="004549E5" w:rsidRPr="004549E5">
        <w:rPr>
          <w:i/>
          <w:sz w:val="24"/>
          <w:szCs w:val="24"/>
        </w:rPr>
        <w:t>jęcia</w:t>
      </w:r>
      <w:r w:rsidR="004549E5" w:rsidRPr="00E97AD1">
        <w:rPr>
          <w:i/>
          <w:sz w:val="24"/>
          <w:szCs w:val="24"/>
        </w:rPr>
        <w:t>.</w:t>
      </w:r>
    </w:p>
    <w:p w:rsidR="00EB528F" w:rsidRDefault="0045174E" w:rsidP="0045174E">
      <w:pPr>
        <w:ind w:firstLine="708"/>
        <w:jc w:val="both"/>
        <w:rPr>
          <w:sz w:val="24"/>
          <w:szCs w:val="24"/>
        </w:rPr>
      </w:pPr>
      <w:r>
        <w:rPr>
          <w:sz w:val="24"/>
          <w:szCs w:val="24"/>
        </w:rPr>
        <w:t>Na podstawie</w:t>
      </w:r>
      <w:r w:rsidR="00EB528F" w:rsidRPr="00EB528F">
        <w:rPr>
          <w:sz w:val="24"/>
          <w:szCs w:val="24"/>
        </w:rPr>
        <w:t xml:space="preserve"> art. 54 ustawy z dnia 30 sierpnia 2002 r. Prawo o postępowaniu</w:t>
      </w:r>
      <w:r w:rsidR="00EB528F">
        <w:rPr>
          <w:sz w:val="24"/>
          <w:szCs w:val="24"/>
        </w:rPr>
        <w:t xml:space="preserve"> przed sądami administracyjnymi</w:t>
      </w:r>
      <w:r w:rsidR="00FA52A6">
        <w:rPr>
          <w:sz w:val="24"/>
          <w:szCs w:val="24"/>
        </w:rPr>
        <w:t>,</w:t>
      </w:r>
      <w:r w:rsidR="00EB528F" w:rsidRPr="00EB528F">
        <w:rPr>
          <w:sz w:val="24"/>
          <w:szCs w:val="24"/>
        </w:rPr>
        <w:t xml:space="preserve"> skarga do sądu administracyjnego wnoszona jest za pośrednictwem organu, którego działanie, bezczynność lub przewlekłe prowadzenie postępowania jest przedmiotem skargi. Organ, którego skarga dotyczy, zobowiązany jest do przekazania skargi sądowi administracyjnemu wraz z aktami sprawy i odpowiedzią na skargę w terminie 30 dni od dnia jej wniesienia. W przypadku nie zastosowania się do powyższych obowiązków, sąd na wniosek skarżącego może orzec o wymierzeniu organowi grzywny (art. 55 ustawy). Z uwagi na powyższe podjęcie niniejszej uchwały jest niezbędne celem wypełnienia obowiązków nałożonych na organ gminy w/w ustawą</w:t>
      </w:r>
      <w:r w:rsidR="00EB528F">
        <w:rPr>
          <w:sz w:val="24"/>
          <w:szCs w:val="24"/>
        </w:rPr>
        <w:t>.</w:t>
      </w:r>
    </w:p>
    <w:p w:rsidR="00253763" w:rsidRPr="00EB528F" w:rsidRDefault="00253763" w:rsidP="004549E5">
      <w:pPr>
        <w:jc w:val="both"/>
        <w:rPr>
          <w:sz w:val="24"/>
          <w:szCs w:val="24"/>
        </w:rPr>
      </w:pPr>
    </w:p>
    <w:sectPr w:rsidR="00253763" w:rsidRPr="00EB528F" w:rsidSect="00CA2967">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B7" w:rsidRDefault="002B23B7" w:rsidP="00253763">
      <w:r>
        <w:separator/>
      </w:r>
    </w:p>
  </w:endnote>
  <w:endnote w:type="continuationSeparator" w:id="0">
    <w:p w:rsidR="002B23B7" w:rsidRDefault="002B23B7" w:rsidP="0025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pani">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B7" w:rsidRDefault="002B23B7" w:rsidP="00253763">
      <w:r>
        <w:separator/>
      </w:r>
    </w:p>
  </w:footnote>
  <w:footnote w:type="continuationSeparator" w:id="0">
    <w:p w:rsidR="002B23B7" w:rsidRDefault="002B23B7" w:rsidP="0025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9F"/>
    <w:rsid w:val="00253763"/>
    <w:rsid w:val="00297B94"/>
    <w:rsid w:val="002B23B7"/>
    <w:rsid w:val="003B5FCC"/>
    <w:rsid w:val="0045174E"/>
    <w:rsid w:val="004549E5"/>
    <w:rsid w:val="006A6E9F"/>
    <w:rsid w:val="006B6AC5"/>
    <w:rsid w:val="007470F5"/>
    <w:rsid w:val="00775BEC"/>
    <w:rsid w:val="00784729"/>
    <w:rsid w:val="00B37195"/>
    <w:rsid w:val="00B55117"/>
    <w:rsid w:val="00BC0296"/>
    <w:rsid w:val="00CA2967"/>
    <w:rsid w:val="00E0062E"/>
    <w:rsid w:val="00E360FA"/>
    <w:rsid w:val="00EB528F"/>
    <w:rsid w:val="00FA5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E9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6A6E9F"/>
    <w:pPr>
      <w:keepNext/>
      <w:tabs>
        <w:tab w:val="left" w:pos="680"/>
      </w:tabs>
      <w:spacing w:before="120" w:after="120"/>
      <w:jc w:val="center"/>
      <w:outlineLvl w:val="1"/>
    </w:pPr>
    <w:rPr>
      <w:b/>
      <w:bCs/>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A6E9F"/>
    <w:rPr>
      <w:rFonts w:ascii="Times New Roman" w:eastAsia="Times New Roman" w:hAnsi="Times New Roman" w:cs="Times New Roman"/>
      <w:b/>
      <w:bCs/>
      <w:iCs/>
      <w:sz w:val="28"/>
      <w:szCs w:val="20"/>
      <w:lang w:eastAsia="pl-PL"/>
    </w:rPr>
  </w:style>
  <w:style w:type="paragraph" w:styleId="Tekstpodstawowywcity2">
    <w:name w:val="Body Text Indent 2"/>
    <w:basedOn w:val="Normalny"/>
    <w:link w:val="Tekstpodstawowywcity2Znak"/>
    <w:rsid w:val="006A6E9F"/>
    <w:pPr>
      <w:ind w:left="1410" w:hanging="1410"/>
      <w:jc w:val="both"/>
    </w:pPr>
    <w:rPr>
      <w:rFonts w:ascii="Timpani" w:hAnsi="Timpani"/>
      <w:b/>
      <w:sz w:val="28"/>
    </w:rPr>
  </w:style>
  <w:style w:type="character" w:customStyle="1" w:styleId="Tekstpodstawowywcity2Znak">
    <w:name w:val="Tekst podstawowy wcięty 2 Znak"/>
    <w:basedOn w:val="Domylnaczcionkaakapitu"/>
    <w:link w:val="Tekstpodstawowywcity2"/>
    <w:rsid w:val="006A6E9F"/>
    <w:rPr>
      <w:rFonts w:ascii="Timpani" w:eastAsia="Times New Roman" w:hAnsi="Timpani" w:cs="Times New Roman"/>
      <w:b/>
      <w:sz w:val="28"/>
      <w:szCs w:val="20"/>
      <w:lang w:eastAsia="pl-PL"/>
    </w:rPr>
  </w:style>
  <w:style w:type="paragraph" w:styleId="Tekstprzypisudolnego">
    <w:name w:val="footnote text"/>
    <w:basedOn w:val="Normalny"/>
    <w:link w:val="TekstprzypisudolnegoZnak"/>
    <w:uiPriority w:val="99"/>
    <w:semiHidden/>
    <w:unhideWhenUsed/>
    <w:rsid w:val="00253763"/>
  </w:style>
  <w:style w:type="character" w:customStyle="1" w:styleId="TekstprzypisudolnegoZnak">
    <w:name w:val="Tekst przypisu dolnego Znak"/>
    <w:basedOn w:val="Domylnaczcionkaakapitu"/>
    <w:link w:val="Tekstprzypisudolnego"/>
    <w:uiPriority w:val="99"/>
    <w:semiHidden/>
    <w:rsid w:val="0025376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537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E9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6A6E9F"/>
    <w:pPr>
      <w:keepNext/>
      <w:tabs>
        <w:tab w:val="left" w:pos="680"/>
      </w:tabs>
      <w:spacing w:before="120" w:after="120"/>
      <w:jc w:val="center"/>
      <w:outlineLvl w:val="1"/>
    </w:pPr>
    <w:rPr>
      <w:b/>
      <w:bCs/>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A6E9F"/>
    <w:rPr>
      <w:rFonts w:ascii="Times New Roman" w:eastAsia="Times New Roman" w:hAnsi="Times New Roman" w:cs="Times New Roman"/>
      <w:b/>
      <w:bCs/>
      <w:iCs/>
      <w:sz w:val="28"/>
      <w:szCs w:val="20"/>
      <w:lang w:eastAsia="pl-PL"/>
    </w:rPr>
  </w:style>
  <w:style w:type="paragraph" w:styleId="Tekstpodstawowywcity2">
    <w:name w:val="Body Text Indent 2"/>
    <w:basedOn w:val="Normalny"/>
    <w:link w:val="Tekstpodstawowywcity2Znak"/>
    <w:rsid w:val="006A6E9F"/>
    <w:pPr>
      <w:ind w:left="1410" w:hanging="1410"/>
      <w:jc w:val="both"/>
    </w:pPr>
    <w:rPr>
      <w:rFonts w:ascii="Timpani" w:hAnsi="Timpani"/>
      <w:b/>
      <w:sz w:val="28"/>
    </w:rPr>
  </w:style>
  <w:style w:type="character" w:customStyle="1" w:styleId="Tekstpodstawowywcity2Znak">
    <w:name w:val="Tekst podstawowy wcięty 2 Znak"/>
    <w:basedOn w:val="Domylnaczcionkaakapitu"/>
    <w:link w:val="Tekstpodstawowywcity2"/>
    <w:rsid w:val="006A6E9F"/>
    <w:rPr>
      <w:rFonts w:ascii="Timpani" w:eastAsia="Times New Roman" w:hAnsi="Timpani" w:cs="Times New Roman"/>
      <w:b/>
      <w:sz w:val="28"/>
      <w:szCs w:val="20"/>
      <w:lang w:eastAsia="pl-PL"/>
    </w:rPr>
  </w:style>
  <w:style w:type="paragraph" w:styleId="Tekstprzypisudolnego">
    <w:name w:val="footnote text"/>
    <w:basedOn w:val="Normalny"/>
    <w:link w:val="TekstprzypisudolnegoZnak"/>
    <w:uiPriority w:val="99"/>
    <w:semiHidden/>
    <w:unhideWhenUsed/>
    <w:rsid w:val="00253763"/>
  </w:style>
  <w:style w:type="character" w:customStyle="1" w:styleId="TekstprzypisudolnegoZnak">
    <w:name w:val="Tekst przypisu dolnego Znak"/>
    <w:basedOn w:val="Domylnaczcionkaakapitu"/>
    <w:link w:val="Tekstprzypisudolnego"/>
    <w:uiPriority w:val="99"/>
    <w:semiHidden/>
    <w:rsid w:val="0025376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53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574</Words>
  <Characters>3445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Beata Kozłowska</cp:lastModifiedBy>
  <cp:revision>7</cp:revision>
  <dcterms:created xsi:type="dcterms:W3CDTF">2017-10-26T07:06:00Z</dcterms:created>
  <dcterms:modified xsi:type="dcterms:W3CDTF">2017-10-30T06:31:00Z</dcterms:modified>
</cp:coreProperties>
</file>