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B6" w:rsidRDefault="00C961B6" w:rsidP="00EA2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C22B0" w:rsidRDefault="00EA2A68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A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Pr="00EA2A68">
        <w:rPr>
          <w:rFonts w:ascii="Times New Roman" w:hAnsi="Times New Roman" w:cs="Times New Roman"/>
          <w:b/>
          <w:sz w:val="24"/>
          <w:szCs w:val="24"/>
        </w:rPr>
        <w:t xml:space="preserve">XXVIII / 234 / 17                        </w:t>
      </w:r>
      <w:r w:rsidRPr="00EA2A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961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:rsidR="00C961B6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30 marca 2017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961B6" w:rsidRPr="001460FA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rawie przyjęcia Programu Rewitalizacji Gminy Chełmża na lata 2017-2023</w:t>
      </w:r>
      <w:r w:rsidR="003C22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bookmarkStart w:id="0" w:name="_GoBack"/>
      <w:bookmarkEnd w:id="0"/>
    </w:p>
    <w:p w:rsidR="00AA3560" w:rsidRPr="001460FA" w:rsidRDefault="00AA3560" w:rsidP="002C6E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3C22B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art. 18 ust. 2 pkt 6</w:t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 r. o samorządzie gminnym (Dz.U. z 201</w:t>
      </w:r>
      <w:r w:rsidR="00C961B6">
        <w:rPr>
          <w:rFonts w:ascii="Times New Roman" w:eastAsia="Times New Roman" w:hAnsi="Times New Roman" w:cs="Times New Roman"/>
          <w:sz w:val="24"/>
          <w:szCs w:val="24"/>
          <w:lang w:eastAsia="pl-PL"/>
        </w:rPr>
        <w:t>6 r. poz. 446</w:t>
      </w:r>
      <w:r w:rsidR="00DF3BEE">
        <w:rPr>
          <w:rFonts w:ascii="Times New Roman" w:eastAsia="Times New Roman" w:hAnsi="Times New Roman" w:cs="Times New Roman"/>
          <w:sz w:val="24"/>
          <w:szCs w:val="24"/>
          <w:lang w:eastAsia="pl-PL"/>
        </w:rPr>
        <w:t>, 1579 i 1948</w:t>
      </w:r>
      <w:r w:rsidR="00C961B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6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C961B6"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740" w:rsidRDefault="00C961B6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Przyjmuje się Program Rewitalizacji 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Chełmża na lata 2017-2023, który stanowi załącznik do uchwały.</w:t>
      </w:r>
    </w:p>
    <w:p w:rsidR="00AA3560" w:rsidRDefault="00AA3560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ierza się Wójtowi Gminy Chełmża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3560" w:rsidRPr="001460FA" w:rsidRDefault="00AA3560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Pr="001460FA" w:rsidRDefault="00C961B6" w:rsidP="002C6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</w:t>
      </w:r>
      <w:r w:rsidR="0054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 w życie z dniem podjęcia. </w:t>
      </w:r>
    </w:p>
    <w:p w:rsidR="00C961B6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402B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60" w:rsidRDefault="00AA3560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Default="00FF08BC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8BC" w:rsidRPr="00FF08BC" w:rsidRDefault="00FF08BC" w:rsidP="00AA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08B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Uzasadnienie</w:t>
      </w:r>
    </w:p>
    <w:p w:rsidR="00FF08BC" w:rsidRPr="00EA2A68" w:rsidRDefault="00FF08BC" w:rsidP="00AA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A2A68">
        <w:rPr>
          <w:rFonts w:ascii="Times New Roman" w:eastAsia="Calibri" w:hAnsi="Times New Roman" w:cs="Times New Roman"/>
          <w:b/>
          <w:sz w:val="24"/>
          <w:szCs w:val="24"/>
        </w:rPr>
        <w:t>do uchwały</w:t>
      </w:r>
      <w:r w:rsidR="00402BF1" w:rsidRPr="00EA2A68">
        <w:rPr>
          <w:rFonts w:ascii="Times New Roman" w:hAnsi="Times New Roman" w:cs="Times New Roman"/>
          <w:b/>
        </w:rPr>
        <w:t xml:space="preserve"> XXVIII / 234 / 17</w:t>
      </w:r>
      <w:r w:rsidRPr="00EA2A68">
        <w:rPr>
          <w:rFonts w:ascii="Times New Roman" w:eastAsia="Calibri" w:hAnsi="Times New Roman" w:cs="Times New Roman"/>
          <w:b/>
          <w:sz w:val="24"/>
          <w:szCs w:val="24"/>
        </w:rPr>
        <w:t xml:space="preserve"> Rady Gminy Chełmża</w:t>
      </w:r>
    </w:p>
    <w:p w:rsidR="00FF08BC" w:rsidRDefault="00FF08BC" w:rsidP="00AA35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 dnia 30 marca</w:t>
      </w:r>
      <w:r w:rsidRPr="00FF08BC">
        <w:rPr>
          <w:rFonts w:ascii="Times New Roman" w:eastAsia="Calibri" w:hAnsi="Times New Roman" w:cs="Times New Roman"/>
          <w:b/>
          <w:sz w:val="24"/>
          <w:szCs w:val="24"/>
        </w:rPr>
        <w:t xml:space="preserve"> 2017 r.</w:t>
      </w:r>
    </w:p>
    <w:p w:rsidR="005669AE" w:rsidRPr="005669AE" w:rsidRDefault="005669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08BC" w:rsidRPr="005B0A44" w:rsidRDefault="0089694D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694D">
        <w:rPr>
          <w:rFonts w:ascii="Times New Roman" w:hAnsi="Times New Roman" w:cs="Times New Roman"/>
          <w:bCs/>
        </w:rPr>
        <w:t xml:space="preserve">Rewitalizacja, </w:t>
      </w:r>
      <w:r w:rsidRPr="0089694D">
        <w:rPr>
          <w:rFonts w:ascii="Times New Roman" w:hAnsi="Times New Roman" w:cs="Times New Roman"/>
        </w:rPr>
        <w:t xml:space="preserve">czyli proces wyprowadzania ze stanu kryzysowego obszarów zdegradowanych, prowadzony jest na podstawie </w:t>
      </w:r>
      <w:r w:rsidRPr="0089694D">
        <w:rPr>
          <w:rFonts w:ascii="Times New Roman" w:hAnsi="Times New Roman" w:cs="Times New Roman"/>
          <w:bCs/>
        </w:rPr>
        <w:t>Programów rewitalizacji</w:t>
      </w:r>
      <w:r w:rsidRPr="0089694D">
        <w:rPr>
          <w:rFonts w:ascii="Times New Roman" w:hAnsi="Times New Roman" w:cs="Times New Roman"/>
        </w:rPr>
        <w:t xml:space="preserve">. Program taki nakreśla działania w sferze społecznej, gospodarczej, środowiskowej, przestrzenno-funkcjonalnej, a także infrastrukturalnej, mające na celu wyprowadzenie danego obszaru ze stanu kryzysowego. Program jest podstawą do ubiegania się o środki na rewitalizację, m. in. </w:t>
      </w:r>
      <w:r w:rsidR="005669AE">
        <w:rPr>
          <w:rFonts w:ascii="Times New Roman" w:hAnsi="Times New Roman" w:cs="Times New Roman"/>
        </w:rPr>
        <w:br/>
      </w:r>
      <w:r w:rsidRPr="0089694D">
        <w:rPr>
          <w:rFonts w:ascii="Times New Roman" w:hAnsi="Times New Roman" w:cs="Times New Roman"/>
        </w:rPr>
        <w:t xml:space="preserve">z funduszy unijnych w szczególności z Regionalnego Programu Operacyjnego Województwa Kujawsko-Pomorskiego 2014-2020. </w:t>
      </w:r>
      <w:r>
        <w:rPr>
          <w:rFonts w:ascii="Times New Roman" w:eastAsia="Times New Roman" w:hAnsi="Times New Roman" w:cs="Times New Roman"/>
          <w:lang w:eastAsia="pl-PL"/>
        </w:rPr>
        <w:t>Wyznacza</w:t>
      </w:r>
      <w:r w:rsidR="00FF08BC">
        <w:rPr>
          <w:rFonts w:ascii="Times New Roman" w:eastAsia="Times New Roman" w:hAnsi="Times New Roman" w:cs="Times New Roman"/>
          <w:lang w:eastAsia="pl-PL"/>
        </w:rPr>
        <w:t xml:space="preserve"> on </w:t>
      </w:r>
      <w:r w:rsidR="00FF08BC" w:rsidRPr="005B0A44">
        <w:rPr>
          <w:rFonts w:ascii="Times New Roman" w:eastAsia="Times New Roman" w:hAnsi="Times New Roman" w:cs="Times New Roman"/>
          <w:lang w:eastAsia="pl-PL"/>
        </w:rPr>
        <w:t xml:space="preserve">obszary zdegradowane, </w:t>
      </w:r>
      <w:r>
        <w:rPr>
          <w:rFonts w:ascii="Times New Roman" w:eastAsia="Times New Roman" w:hAnsi="Times New Roman" w:cs="Times New Roman"/>
          <w:lang w:eastAsia="pl-PL"/>
        </w:rPr>
        <w:t xml:space="preserve">których granice zostały ustalone w wyniku </w:t>
      </w:r>
      <w:r w:rsidR="00FF08BC" w:rsidRPr="005B0A44">
        <w:rPr>
          <w:rFonts w:ascii="Times New Roman" w:eastAsia="Times New Roman" w:hAnsi="Times New Roman" w:cs="Times New Roman"/>
          <w:lang w:eastAsia="pl-PL"/>
        </w:rPr>
        <w:t>przeprowadzonej diagnozy</w:t>
      </w:r>
      <w:r w:rsidR="004C6441">
        <w:rPr>
          <w:rFonts w:ascii="Times New Roman" w:eastAsia="Times New Roman" w:hAnsi="Times New Roman" w:cs="Times New Roman"/>
          <w:lang w:eastAsia="pl-PL"/>
        </w:rPr>
        <w:t xml:space="preserve"> </w:t>
      </w:r>
      <w:r w:rsidR="00FF08BC">
        <w:rPr>
          <w:rFonts w:ascii="Times New Roman" w:eastAsia="Times New Roman" w:hAnsi="Times New Roman" w:cs="Times New Roman"/>
          <w:lang w:eastAsia="pl-PL"/>
        </w:rPr>
        <w:t>oraz zakres działań naprawczych na obszarach rewitalizacji.</w:t>
      </w:r>
    </w:p>
    <w:p w:rsidR="003C22B0" w:rsidRDefault="00FF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Pr="005B0A4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Rewitalizacji obejmowało </w:t>
      </w:r>
      <w:r w:rsidRPr="005B0A44">
        <w:rPr>
          <w:rFonts w:ascii="Times New Roman" w:eastAsia="Times New Roman" w:hAnsi="Times New Roman" w:cs="Times New Roman"/>
          <w:sz w:val="24"/>
          <w:szCs w:val="24"/>
          <w:lang w:eastAsia="pl-PL"/>
        </w:rPr>
        <w:t>2 etapy:</w:t>
      </w:r>
    </w:p>
    <w:p w:rsidR="003C22B0" w:rsidRDefault="00FF0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części diagnostycznej programu wraz z przeprowadzeniem konsultacji</w:t>
      </w:r>
      <w:r w:rsidR="0089694D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społecznych.  </w:t>
      </w:r>
    </w:p>
    <w:p w:rsidR="00FF08BC" w:rsidRPr="003C22B0" w:rsidRDefault="00FF08B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diagnostyczna pozwoliła na wyznaczenie granice</w:t>
      </w:r>
      <w:r w:rsidR="004C6441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zde</w:t>
      </w:r>
      <w:r w:rsidR="004C6441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gradowanego 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wskazać obszary do rewitalizacji</w:t>
      </w:r>
      <w:r w:rsid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C22B0" w:rsidRDefault="00FF08B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części programowej, której celem będzie uzyskanie opisu pożądanego stanu</w:t>
      </w:r>
      <w:r w:rsid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 po przepro</w:t>
      </w:r>
      <w:r w:rsidR="004C6441" w:rsidRPr="004C6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wadzeniu rewitalizacji. </w:t>
      </w:r>
    </w:p>
    <w:p w:rsidR="00FF08BC" w:rsidRDefault="004C6441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 ona cele rewitalizacji,</w:t>
      </w:r>
      <w:r w:rsidR="00FF08BC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08BC"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najważniejszych przedsięwzięć rewita</w:t>
      </w:r>
      <w:r w:rsidRPr="003C2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lizacyjnych wraz z ich opisami oraz opis systemu zarządzania, monitoringu, promocji i komunikacji społecznej. </w:t>
      </w:r>
    </w:p>
    <w:p w:rsidR="00402BF1" w:rsidRDefault="00402BF1" w:rsidP="00EA2A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Programu Rewitalizacji Gminy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2017-2023 został przesłany do Regionalnego Dyrektora Ochrony Środowiska w Bydgoszczy oraz do Państwowego Wojewódzkiego Inspektora Sanitarnego w Bydgoszczy celem uzgodnienia odstąpienia od przeprowadzenia strategicznej oceny oddziaływania na środowisko.</w:t>
      </w:r>
    </w:p>
    <w:p w:rsidR="00402BF1" w:rsidRPr="00EA2A68" w:rsidRDefault="00402BF1" w:rsidP="00EA2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Dyrektor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Bydgoszczy pismem z dnia 3 marca 2017 r. (WOO.410.106.2017.MD1) stwierdził, iż w jego ocenie program nie spowoduje znaczącego oddziaływania na środowisko oraz nie wymaga przeprowadzenia Strategicznej Oceny Oddziaływania na Środowisko. Podobnie Państwowy Wojewódzki Inspektor Sani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tarny </w:t>
      </w:r>
      <w:r w:rsidR="00EA2A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Bydgoszczy pismem z dnia 8 marca 2017 r. (NNZ.9022.1.104.2017) uznał iż przeprowadzenie w/w oceny nie jest konieczne, </w:t>
      </w:r>
    </w:p>
    <w:p w:rsidR="0089694D" w:rsidRPr="005B0A44" w:rsidRDefault="008969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94D">
        <w:rPr>
          <w:rFonts w:ascii="Times New Roman" w:hAnsi="Times New Roman" w:cs="Times New Roman"/>
          <w:sz w:val="24"/>
          <w:szCs w:val="24"/>
        </w:rPr>
        <w:t xml:space="preserve">Program Rewitalizacji Gminy Chełmża na lata 2017- 2023 został sporządzony </w:t>
      </w:r>
      <w:r>
        <w:rPr>
          <w:rFonts w:ascii="Times New Roman" w:hAnsi="Times New Roman" w:cs="Times New Roman"/>
          <w:sz w:val="24"/>
          <w:szCs w:val="24"/>
        </w:rPr>
        <w:br/>
      </w:r>
      <w:r w:rsidRPr="0089694D">
        <w:rPr>
          <w:rFonts w:ascii="Times New Roman" w:hAnsi="Times New Roman" w:cs="Times New Roman"/>
          <w:sz w:val="24"/>
          <w:szCs w:val="24"/>
        </w:rPr>
        <w:t>w oparciu o ustawę z dnia 8 marca 199</w:t>
      </w:r>
      <w:r w:rsidR="003C22B0">
        <w:rPr>
          <w:rFonts w:ascii="Times New Roman" w:hAnsi="Times New Roman" w:cs="Times New Roman"/>
          <w:sz w:val="24"/>
          <w:szCs w:val="24"/>
        </w:rPr>
        <w:t xml:space="preserve">0 </w:t>
      </w:r>
      <w:r w:rsidRPr="0089694D">
        <w:rPr>
          <w:rFonts w:ascii="Times New Roman" w:hAnsi="Times New Roman" w:cs="Times New Roman"/>
          <w:sz w:val="24"/>
          <w:szCs w:val="24"/>
        </w:rPr>
        <w:t xml:space="preserve">r. o samorządzie gminnym, i nie stanowi programu, </w:t>
      </w:r>
      <w:r>
        <w:rPr>
          <w:rFonts w:ascii="Times New Roman" w:hAnsi="Times New Roman" w:cs="Times New Roman"/>
          <w:sz w:val="24"/>
          <w:szCs w:val="24"/>
        </w:rPr>
        <w:br/>
      </w:r>
      <w:r w:rsidRPr="0089694D">
        <w:rPr>
          <w:rFonts w:ascii="Times New Roman" w:hAnsi="Times New Roman" w:cs="Times New Roman"/>
          <w:sz w:val="24"/>
          <w:szCs w:val="24"/>
        </w:rPr>
        <w:t>o którym mowa w art. 14 ustawy z dnia 9 października 2015</w:t>
      </w:r>
      <w:r w:rsidR="003C22B0">
        <w:rPr>
          <w:rFonts w:ascii="Times New Roman" w:hAnsi="Times New Roman" w:cs="Times New Roman"/>
          <w:sz w:val="24"/>
          <w:szCs w:val="24"/>
        </w:rPr>
        <w:t xml:space="preserve"> </w:t>
      </w:r>
      <w:r w:rsidRPr="0089694D">
        <w:rPr>
          <w:rFonts w:ascii="Times New Roman" w:hAnsi="Times New Roman" w:cs="Times New Roman"/>
          <w:sz w:val="24"/>
          <w:szCs w:val="24"/>
        </w:rPr>
        <w:t>r.</w:t>
      </w:r>
      <w:r w:rsidR="00AA3560">
        <w:rPr>
          <w:rFonts w:ascii="Times New Roman" w:hAnsi="Times New Roman" w:cs="Times New Roman"/>
          <w:sz w:val="24"/>
          <w:szCs w:val="24"/>
        </w:rPr>
        <w:t xml:space="preserve"> </w:t>
      </w:r>
      <w:r w:rsidR="00AA3560" w:rsidRPr="0089694D">
        <w:rPr>
          <w:rFonts w:ascii="Times New Roman" w:hAnsi="Times New Roman" w:cs="Times New Roman"/>
          <w:sz w:val="24"/>
          <w:szCs w:val="24"/>
        </w:rPr>
        <w:t>o rewitalizacji</w:t>
      </w:r>
      <w:r w:rsidR="00AA3560" w:rsidRPr="00AA3560">
        <w:t xml:space="preserve"> </w:t>
      </w:r>
      <w:r w:rsidR="008F742D">
        <w:t>(</w:t>
      </w:r>
      <w:r w:rsidR="008F742D">
        <w:rPr>
          <w:rFonts w:ascii="Times New Roman" w:hAnsi="Times New Roman" w:cs="Times New Roman"/>
          <w:sz w:val="24"/>
          <w:szCs w:val="24"/>
        </w:rPr>
        <w:t>Dz.U. z 2015 r. poz. 1777 z późn.zm.)</w:t>
      </w:r>
    </w:p>
    <w:p w:rsidR="00FF08BC" w:rsidRPr="005B0A44" w:rsidRDefault="00FF08BC" w:rsidP="002C6E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1B6" w:rsidRPr="001460FA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961B6" w:rsidRPr="001460FA" w:rsidRDefault="00C961B6" w:rsidP="002C6E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61B6" w:rsidRDefault="00C961B6" w:rsidP="002C6E80">
      <w:pPr>
        <w:spacing w:after="0"/>
        <w:jc w:val="both"/>
      </w:pPr>
    </w:p>
    <w:p w:rsidR="002F32AA" w:rsidRDefault="002F32AA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2C6E80">
      <w:pPr>
        <w:spacing w:after="0"/>
        <w:jc w:val="both"/>
      </w:pPr>
    </w:p>
    <w:p w:rsidR="00AE2AC5" w:rsidRDefault="00AE2AC5" w:rsidP="00AE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2AC5" w:rsidRDefault="00AE2AC5" w:rsidP="002C6E80">
      <w:pPr>
        <w:spacing w:after="0"/>
        <w:jc w:val="both"/>
      </w:pPr>
    </w:p>
    <w:sectPr w:rsidR="00AE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A81"/>
    <w:multiLevelType w:val="hybridMultilevel"/>
    <w:tmpl w:val="D0F4D6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03608"/>
    <w:multiLevelType w:val="hybridMultilevel"/>
    <w:tmpl w:val="BB148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B6"/>
    <w:rsid w:val="001E43A2"/>
    <w:rsid w:val="002B22FC"/>
    <w:rsid w:val="002C6E80"/>
    <w:rsid w:val="002F32AA"/>
    <w:rsid w:val="003C22B0"/>
    <w:rsid w:val="00402BF1"/>
    <w:rsid w:val="004C6441"/>
    <w:rsid w:val="00542740"/>
    <w:rsid w:val="005669AE"/>
    <w:rsid w:val="0089694D"/>
    <w:rsid w:val="008F742D"/>
    <w:rsid w:val="00970AE0"/>
    <w:rsid w:val="00AA3560"/>
    <w:rsid w:val="00AE2AC5"/>
    <w:rsid w:val="00C961B6"/>
    <w:rsid w:val="00DF3BEE"/>
    <w:rsid w:val="00EA2A68"/>
    <w:rsid w:val="00ED4BF0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F61F5-773C-48CD-B3EB-743DB96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441"/>
    <w:pPr>
      <w:ind w:left="720"/>
      <w:contextualSpacing/>
    </w:pPr>
  </w:style>
  <w:style w:type="paragraph" w:customStyle="1" w:styleId="Default">
    <w:name w:val="Default"/>
    <w:rsid w:val="0089694D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89694D"/>
  </w:style>
  <w:style w:type="paragraph" w:styleId="Tekstdymka">
    <w:name w:val="Balloon Text"/>
    <w:basedOn w:val="Normalny"/>
    <w:link w:val="TekstdymkaZnak"/>
    <w:uiPriority w:val="99"/>
    <w:semiHidden/>
    <w:unhideWhenUsed/>
    <w:rsid w:val="003C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62F0-3971-4A70-908F-A976493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Ewa Pudo</cp:lastModifiedBy>
  <cp:revision>2</cp:revision>
  <cp:lastPrinted>2017-04-10T09:20:00Z</cp:lastPrinted>
  <dcterms:created xsi:type="dcterms:W3CDTF">2018-04-03T08:07:00Z</dcterms:created>
  <dcterms:modified xsi:type="dcterms:W3CDTF">2018-04-03T08:07:00Z</dcterms:modified>
</cp:coreProperties>
</file>