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04" w:rsidRDefault="00E85004" w:rsidP="00E85004">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E85004" w:rsidRDefault="00E85004" w:rsidP="00E85004">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962057">
        <w:rPr>
          <w:rFonts w:ascii="Times New Roman" w:eastAsia="Times New Roman" w:hAnsi="Times New Roman"/>
          <w:sz w:val="16"/>
          <w:szCs w:val="16"/>
          <w:lang w:eastAsia="pl-PL"/>
        </w:rPr>
        <w:t>62</w:t>
      </w:r>
      <w:r w:rsidR="00962057">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rsidR="00E85004" w:rsidRDefault="00E85004" w:rsidP="00E85004">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E85004" w:rsidRDefault="00E85004" w:rsidP="00E85004">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w:t>
      </w:r>
      <w:r w:rsidR="00962057">
        <w:rPr>
          <w:rFonts w:ascii="Times New Roman" w:eastAsia="Times New Roman" w:hAnsi="Times New Roman"/>
          <w:sz w:val="16"/>
          <w:szCs w:val="16"/>
          <w:lang w:eastAsia="pl-PL"/>
        </w:rPr>
        <w:t xml:space="preserve"> 12</w:t>
      </w:r>
      <w:r>
        <w:rPr>
          <w:rFonts w:ascii="Times New Roman" w:eastAsia="Times New Roman" w:hAnsi="Times New Roman"/>
          <w:sz w:val="16"/>
          <w:szCs w:val="16"/>
          <w:lang w:eastAsia="pl-PL"/>
        </w:rPr>
        <w:t xml:space="preserve"> lipca 2018 r. </w:t>
      </w:r>
    </w:p>
    <w:p w:rsidR="00E85004" w:rsidRDefault="00E85004" w:rsidP="00E85004">
      <w:pPr>
        <w:tabs>
          <w:tab w:val="left" w:pos="7320"/>
        </w:tabs>
        <w:spacing w:after="0" w:line="240" w:lineRule="auto"/>
        <w:rPr>
          <w:rFonts w:ascii="Times New Roman" w:eastAsia="Times New Roman" w:hAnsi="Times New Roman"/>
          <w:sz w:val="20"/>
          <w:szCs w:val="20"/>
          <w:lang w:eastAsia="pl-PL"/>
        </w:rPr>
      </w:pPr>
    </w:p>
    <w:p w:rsidR="00E85004" w:rsidRDefault="00E85004" w:rsidP="00E85004">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(Dz.U. z 2018 r. poz. 994 z późn.zm.), art. 11 ust. 1, art. 13 ust. 1, art. 38 i art. 40 ust. 1 pkt 1 ustawy z dnia 21 sierpnia 1997 r. o gospodarce nieruchomościami (Dz.U. z 2018 r. poz. 121 z późn.zm.), uchwały Nr </w:t>
      </w:r>
      <w:r w:rsidR="001D72B7">
        <w:rPr>
          <w:rFonts w:ascii="Times New Roman" w:eastAsia="Times New Roman" w:hAnsi="Times New Roman"/>
          <w:sz w:val="20"/>
          <w:szCs w:val="20"/>
          <w:lang w:eastAsia="pl-PL"/>
        </w:rPr>
        <w:t>XXIV/134/08</w:t>
      </w:r>
      <w:r>
        <w:rPr>
          <w:rFonts w:ascii="Times New Roman" w:eastAsia="Times New Roman" w:hAnsi="Times New Roman"/>
          <w:sz w:val="20"/>
          <w:szCs w:val="20"/>
          <w:lang w:eastAsia="pl-PL"/>
        </w:rPr>
        <w:t xml:space="preserve"> Rady Gminy Chełmża z dnia </w:t>
      </w:r>
      <w:r w:rsidR="001D72B7">
        <w:rPr>
          <w:rFonts w:ascii="Times New Roman" w:eastAsia="Times New Roman" w:hAnsi="Times New Roman"/>
          <w:sz w:val="20"/>
          <w:szCs w:val="20"/>
          <w:lang w:eastAsia="pl-PL"/>
        </w:rPr>
        <w:t>29 marca 2008</w:t>
      </w:r>
      <w:r>
        <w:rPr>
          <w:rFonts w:ascii="Times New Roman" w:eastAsia="Times New Roman" w:hAnsi="Times New Roman"/>
          <w:sz w:val="20"/>
          <w:szCs w:val="20"/>
          <w:lang w:eastAsia="pl-PL"/>
        </w:rPr>
        <w:t xml:space="preserve"> r. w sprawie sprzedaży nieruchomości </w:t>
      </w:r>
      <w:r w:rsidR="001D72B7">
        <w:rPr>
          <w:rFonts w:ascii="Times New Roman" w:eastAsia="Times New Roman" w:hAnsi="Times New Roman"/>
          <w:sz w:val="20"/>
          <w:szCs w:val="20"/>
          <w:lang w:eastAsia="pl-PL"/>
        </w:rPr>
        <w:t>we wsi Browina</w:t>
      </w:r>
      <w:r>
        <w:rPr>
          <w:rFonts w:ascii="Times New Roman" w:eastAsia="Times New Roman" w:hAnsi="Times New Roman"/>
          <w:sz w:val="20"/>
          <w:szCs w:val="20"/>
          <w:lang w:eastAsia="pl-PL"/>
        </w:rPr>
        <w:t xml:space="preserve">, zarządzenia Nr </w:t>
      </w:r>
      <w:r w:rsidR="001D72B7">
        <w:rPr>
          <w:rFonts w:ascii="Times New Roman" w:eastAsia="Times New Roman" w:hAnsi="Times New Roman"/>
          <w:sz w:val="20"/>
          <w:szCs w:val="20"/>
          <w:lang w:eastAsia="pl-PL"/>
        </w:rPr>
        <w:t>41/18</w:t>
      </w:r>
      <w:r>
        <w:rPr>
          <w:rFonts w:ascii="Times New Roman" w:eastAsia="Times New Roman" w:hAnsi="Times New Roman"/>
          <w:sz w:val="20"/>
          <w:szCs w:val="20"/>
          <w:lang w:eastAsia="pl-PL"/>
        </w:rPr>
        <w:t xml:space="preserve"> Wójta Gminy Chełmża z dnia </w:t>
      </w:r>
      <w:r w:rsidR="001D72B7">
        <w:rPr>
          <w:rFonts w:ascii="Times New Roman" w:eastAsia="Times New Roman" w:hAnsi="Times New Roman"/>
          <w:sz w:val="20"/>
          <w:szCs w:val="20"/>
          <w:lang w:eastAsia="pl-PL"/>
        </w:rPr>
        <w:t>16 maja 2018</w:t>
      </w:r>
      <w:r>
        <w:rPr>
          <w:rFonts w:ascii="Times New Roman" w:eastAsia="Times New Roman" w:hAnsi="Times New Roman"/>
          <w:sz w:val="20"/>
          <w:szCs w:val="20"/>
          <w:lang w:eastAsia="pl-PL"/>
        </w:rPr>
        <w:t xml:space="preserve"> r. w sprawie ustalenia ceny wywoławczej w I przetargu ustnym nieograniczonym na sprzedaż nieruchomości stanowiącej zasób nieruchomości Gminy Chełmża.</w:t>
      </w:r>
    </w:p>
    <w:p w:rsidR="00E85004" w:rsidRDefault="00E85004" w:rsidP="00E85004">
      <w:pPr>
        <w:tabs>
          <w:tab w:val="left" w:pos="7320"/>
        </w:tabs>
        <w:spacing w:after="0" w:line="240" w:lineRule="auto"/>
        <w:rPr>
          <w:rFonts w:ascii="Times New Roman" w:eastAsia="Times New Roman" w:hAnsi="Times New Roman"/>
          <w:sz w:val="20"/>
          <w:szCs w:val="20"/>
          <w:lang w:eastAsia="pl-PL"/>
        </w:rPr>
      </w:pPr>
    </w:p>
    <w:p w:rsidR="00E85004" w:rsidRDefault="00E85004" w:rsidP="00E85004">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E85004" w:rsidRDefault="00E85004" w:rsidP="00E85004">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E85004" w:rsidRDefault="00E85004" w:rsidP="00E85004">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w:t>
      </w:r>
      <w:r w:rsidRPr="002A1425">
        <w:rPr>
          <w:rFonts w:ascii="Times New Roman" w:eastAsia="Times New Roman" w:hAnsi="Times New Roman"/>
          <w:b/>
          <w:sz w:val="20"/>
          <w:szCs w:val="20"/>
          <w:lang w:eastAsia="pl-PL"/>
        </w:rPr>
        <w:t xml:space="preserve"> </w:t>
      </w:r>
      <w:r w:rsidR="001D72B7" w:rsidRPr="002A1425">
        <w:rPr>
          <w:rFonts w:ascii="Times New Roman" w:eastAsia="Times New Roman" w:hAnsi="Times New Roman"/>
          <w:b/>
          <w:sz w:val="20"/>
          <w:szCs w:val="20"/>
          <w:lang w:eastAsia="pl-PL"/>
        </w:rPr>
        <w:t>nie</w:t>
      </w:r>
      <w:r w:rsidRPr="002A1425">
        <w:rPr>
          <w:rFonts w:ascii="Times New Roman" w:eastAsia="Times New Roman" w:hAnsi="Times New Roman"/>
          <w:b/>
          <w:sz w:val="20"/>
          <w:szCs w:val="20"/>
          <w:lang w:eastAsia="pl-PL"/>
        </w:rPr>
        <w:t xml:space="preserve">zabudowanej </w:t>
      </w:r>
      <w:r>
        <w:rPr>
          <w:rFonts w:ascii="Times New Roman" w:eastAsia="Times New Roman" w:hAnsi="Times New Roman"/>
          <w:b/>
          <w:color w:val="000000"/>
          <w:sz w:val="20"/>
          <w:szCs w:val="20"/>
          <w:lang w:eastAsia="pl-PL"/>
        </w:rPr>
        <w:t>nieruchomości stanowiącej zasób nieruchomości Gminy Chełmża</w:t>
      </w:r>
    </w:p>
    <w:p w:rsidR="00E85004" w:rsidRDefault="00E85004" w:rsidP="00E85004">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E85004" w:rsidTr="00E85004">
        <w:tc>
          <w:tcPr>
            <w:tcW w:w="425"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sz w:val="16"/>
                <w:szCs w:val="16"/>
                <w:lang w:eastAsia="pl-PL"/>
              </w:rPr>
            </w:pPr>
          </w:p>
          <w:p w:rsidR="00E85004" w:rsidRDefault="00E85004">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sz w:val="16"/>
                <w:szCs w:val="16"/>
                <w:lang w:eastAsia="pl-PL"/>
              </w:rPr>
            </w:pP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center"/>
              <w:rPr>
                <w:rFonts w:ascii="Times New Roman" w:eastAsia="Times New Roman" w:hAnsi="Times New Roman"/>
                <w:sz w:val="16"/>
                <w:szCs w:val="16"/>
                <w:lang w:eastAsia="pl-PL"/>
              </w:rPr>
            </w:pP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1D72B7" w:rsidRPr="001D72B7" w:rsidRDefault="001D72B7" w:rsidP="001D72B7">
            <w:pPr>
              <w:spacing w:after="0" w:line="240" w:lineRule="auto"/>
              <w:jc w:val="center"/>
              <w:rPr>
                <w:rFonts w:ascii="Times New Roman" w:eastAsia="Times New Roman" w:hAnsi="Times New Roman"/>
                <w:sz w:val="16"/>
                <w:szCs w:val="16"/>
                <w:lang w:eastAsia="pl-PL"/>
              </w:rPr>
            </w:pPr>
            <w:r w:rsidRPr="001D72B7">
              <w:rPr>
                <w:rFonts w:ascii="Times New Roman" w:eastAsia="Times New Roman" w:hAnsi="Times New Roman"/>
                <w:sz w:val="16"/>
                <w:szCs w:val="16"/>
                <w:lang w:eastAsia="pl-PL"/>
              </w:rPr>
              <w:t>Przeznaczenie nieruchomości</w:t>
            </w:r>
          </w:p>
          <w:p w:rsidR="00E85004" w:rsidRDefault="001D72B7" w:rsidP="001D72B7">
            <w:pPr>
              <w:spacing w:after="0" w:line="240" w:lineRule="auto"/>
              <w:jc w:val="center"/>
              <w:rPr>
                <w:rFonts w:ascii="Times New Roman" w:eastAsia="Times New Roman" w:hAnsi="Times New Roman"/>
                <w:sz w:val="16"/>
                <w:szCs w:val="16"/>
                <w:lang w:eastAsia="pl-PL"/>
              </w:rPr>
            </w:pPr>
            <w:r w:rsidRPr="001D72B7">
              <w:rPr>
                <w:rFonts w:ascii="Times New Roman" w:eastAsia="Times New Roman" w:hAnsi="Times New Roman"/>
                <w:sz w:val="16"/>
                <w:szCs w:val="16"/>
                <w:lang w:eastAsia="pl-PL"/>
              </w:rPr>
              <w:t>w miejscowym planie zagospodarowania przestrzennego Gminy Chełmża w jednostce strukturalnej Browina (</w:t>
            </w:r>
            <w:proofErr w:type="spellStart"/>
            <w:r w:rsidRPr="001D72B7">
              <w:rPr>
                <w:rFonts w:ascii="Times New Roman" w:eastAsia="Times New Roman" w:hAnsi="Times New Roman"/>
                <w:sz w:val="16"/>
                <w:szCs w:val="16"/>
                <w:lang w:eastAsia="pl-PL"/>
              </w:rPr>
              <w:t>Dz.Urz</w:t>
            </w:r>
            <w:proofErr w:type="spellEnd"/>
            <w:r w:rsidRPr="001D72B7">
              <w:rPr>
                <w:rFonts w:ascii="Times New Roman" w:eastAsia="Times New Roman" w:hAnsi="Times New Roman"/>
                <w:sz w:val="16"/>
                <w:szCs w:val="16"/>
                <w:lang w:eastAsia="pl-PL"/>
              </w:rPr>
              <w:t>. Woj. Kuj. – Pom. z 2006 r. Nr 108, poz. 1650)</w:t>
            </w:r>
          </w:p>
        </w:tc>
        <w:tc>
          <w:tcPr>
            <w:tcW w:w="1177"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center"/>
              <w:rPr>
                <w:rFonts w:ascii="Times New Roman" w:eastAsia="Times New Roman" w:hAnsi="Times New Roman"/>
                <w:sz w:val="16"/>
                <w:szCs w:val="16"/>
                <w:lang w:eastAsia="pl-PL"/>
              </w:rPr>
            </w:pP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E85004" w:rsidTr="00E85004">
        <w:tc>
          <w:tcPr>
            <w:tcW w:w="425"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E85004" w:rsidRDefault="00E850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E85004" w:rsidTr="00E85004">
        <w:trPr>
          <w:trHeight w:val="1065"/>
        </w:trPr>
        <w:tc>
          <w:tcPr>
            <w:tcW w:w="425"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sz w:val="18"/>
                <w:szCs w:val="20"/>
                <w:lang w:eastAsia="pl-PL"/>
              </w:rPr>
            </w:pPr>
          </w:p>
          <w:p w:rsidR="00E85004" w:rsidRDefault="00E85004">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rsidR="001D72B7" w:rsidRPr="001D72B7" w:rsidRDefault="001D72B7" w:rsidP="001D72B7">
            <w:pPr>
              <w:spacing w:after="0" w:line="254" w:lineRule="auto"/>
              <w:rPr>
                <w:rFonts w:ascii="Times New Roman" w:eastAsia="Times New Roman" w:hAnsi="Times New Roman"/>
                <w:b/>
                <w:sz w:val="20"/>
                <w:szCs w:val="20"/>
              </w:rPr>
            </w:pPr>
            <w:r w:rsidRPr="001D72B7">
              <w:rPr>
                <w:rFonts w:ascii="Times New Roman" w:eastAsia="Times New Roman" w:hAnsi="Times New Roman"/>
                <w:b/>
                <w:sz w:val="20"/>
                <w:szCs w:val="20"/>
              </w:rPr>
              <w:t>Browina</w:t>
            </w:r>
          </w:p>
          <w:p w:rsidR="001D72B7" w:rsidRPr="001D72B7" w:rsidRDefault="001D72B7" w:rsidP="001D72B7">
            <w:pPr>
              <w:spacing w:after="0" w:line="254" w:lineRule="auto"/>
              <w:rPr>
                <w:rFonts w:ascii="Times New Roman" w:eastAsia="Times New Roman" w:hAnsi="Times New Roman"/>
                <w:sz w:val="20"/>
                <w:szCs w:val="20"/>
              </w:rPr>
            </w:pPr>
            <w:r w:rsidRPr="001D72B7">
              <w:rPr>
                <w:rFonts w:ascii="Times New Roman" w:eastAsia="Times New Roman" w:hAnsi="Times New Roman"/>
                <w:sz w:val="20"/>
                <w:szCs w:val="20"/>
              </w:rPr>
              <w:t xml:space="preserve">działka nr </w:t>
            </w:r>
            <w:r w:rsidRPr="001D72B7">
              <w:rPr>
                <w:rFonts w:ascii="Times New Roman" w:eastAsia="Times New Roman" w:hAnsi="Times New Roman"/>
                <w:b/>
                <w:sz w:val="20"/>
                <w:szCs w:val="20"/>
              </w:rPr>
              <w:t>122/18</w:t>
            </w:r>
          </w:p>
          <w:p w:rsidR="001D72B7" w:rsidRPr="001D72B7" w:rsidRDefault="001D72B7" w:rsidP="001D72B7">
            <w:pPr>
              <w:spacing w:after="0" w:line="254" w:lineRule="auto"/>
              <w:rPr>
                <w:rFonts w:ascii="Times New Roman" w:eastAsia="Times New Roman" w:hAnsi="Times New Roman"/>
                <w:sz w:val="20"/>
                <w:szCs w:val="20"/>
              </w:rPr>
            </w:pPr>
            <w:r w:rsidRPr="001D72B7">
              <w:rPr>
                <w:rFonts w:ascii="Times New Roman" w:eastAsia="Times New Roman" w:hAnsi="Times New Roman"/>
                <w:sz w:val="20"/>
                <w:szCs w:val="20"/>
              </w:rPr>
              <w:t xml:space="preserve">niezabudowana, </w:t>
            </w:r>
          </w:p>
          <w:p w:rsidR="00E85004" w:rsidRDefault="001D72B7" w:rsidP="001D72B7">
            <w:pPr>
              <w:spacing w:after="0"/>
              <w:rPr>
                <w:rFonts w:ascii="Times New Roman" w:eastAsia="Times New Roman" w:hAnsi="Times New Roman"/>
                <w:sz w:val="20"/>
                <w:szCs w:val="20"/>
              </w:rPr>
            </w:pPr>
            <w:r w:rsidRPr="001D72B7">
              <w:rPr>
                <w:rFonts w:ascii="Times New Roman" w:eastAsia="Times New Roman" w:hAnsi="Times New Roman"/>
                <w:sz w:val="20"/>
                <w:szCs w:val="20"/>
              </w:rPr>
              <w:t>na nieruchomości znajdują się: ławy fundamentowe żelbetowe, dwie skrzynki elektryczn</w:t>
            </w:r>
            <w:r w:rsidR="005A7E52">
              <w:rPr>
                <w:rFonts w:ascii="Times New Roman" w:eastAsia="Times New Roman" w:hAnsi="Times New Roman"/>
                <w:sz w:val="20"/>
                <w:szCs w:val="20"/>
              </w:rPr>
              <w:t>e</w:t>
            </w:r>
            <w:r w:rsidRPr="001D72B7">
              <w:rPr>
                <w:rFonts w:ascii="Times New Roman" w:eastAsia="Times New Roman" w:hAnsi="Times New Roman"/>
                <w:sz w:val="20"/>
                <w:szCs w:val="20"/>
              </w:rPr>
              <w:t xml:space="preserve"> oraz słup sieci elektrycznej napowietrznej</w:t>
            </w:r>
            <w:r w:rsidR="005A7E52">
              <w:rPr>
                <w:rFonts w:ascii="Times New Roman" w:eastAsia="Times New Roman" w:hAnsi="Times New Roman"/>
                <w:sz w:val="20"/>
                <w:szCs w:val="20"/>
              </w:rPr>
              <w:t xml:space="preserve"> (z zamontowaną lampą oświetlenia drogi i przyłączem do skrzynek elektrycznych)</w:t>
            </w:r>
            <w:r w:rsidRPr="001D72B7">
              <w:rPr>
                <w:rFonts w:ascii="Times New Roman" w:eastAsia="Times New Roman" w:hAnsi="Times New Roman"/>
                <w:sz w:val="20"/>
                <w:szCs w:val="20"/>
              </w:rPr>
              <w:t>.</w:t>
            </w:r>
          </w:p>
          <w:p w:rsidR="001D72B7" w:rsidRPr="001D72B7" w:rsidRDefault="001D72B7" w:rsidP="001D72B7">
            <w:pPr>
              <w:spacing w:after="0"/>
              <w:rPr>
                <w:rFonts w:ascii="Times New Roman" w:eastAsia="Times New Roman" w:hAnsi="Times New Roman"/>
                <w:sz w:val="20"/>
                <w:szCs w:val="20"/>
                <w:lang w:eastAsia="pl-PL"/>
              </w:rPr>
            </w:pPr>
            <w:r w:rsidRPr="001D72B7">
              <w:rPr>
                <w:rFonts w:ascii="Times New Roman" w:eastAsia="Times New Roman" w:hAnsi="Times New Roman"/>
                <w:sz w:val="20"/>
                <w:szCs w:val="20"/>
                <w:lang w:eastAsia="pl-PL"/>
              </w:rPr>
              <w:t>TO1T/00063918/7</w:t>
            </w:r>
          </w:p>
        </w:tc>
        <w:tc>
          <w:tcPr>
            <w:tcW w:w="1134"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b/>
                <w:sz w:val="20"/>
                <w:szCs w:val="20"/>
                <w:lang w:eastAsia="pl-PL"/>
              </w:rPr>
            </w:pPr>
          </w:p>
          <w:p w:rsidR="00E85004" w:rsidRPr="001D72B7" w:rsidRDefault="00E85004">
            <w:pPr>
              <w:spacing w:after="0" w:line="240" w:lineRule="auto"/>
              <w:jc w:val="both"/>
              <w:rPr>
                <w:rFonts w:ascii="Times New Roman" w:eastAsia="Times New Roman" w:hAnsi="Times New Roman"/>
                <w:sz w:val="18"/>
                <w:szCs w:val="20"/>
                <w:u w:val="single"/>
                <w:lang w:eastAsia="pl-PL"/>
              </w:rPr>
            </w:pPr>
            <w:r>
              <w:rPr>
                <w:rFonts w:ascii="Times New Roman" w:eastAsia="Times New Roman" w:hAnsi="Times New Roman"/>
                <w:b/>
                <w:sz w:val="20"/>
                <w:szCs w:val="20"/>
                <w:lang w:eastAsia="pl-PL"/>
              </w:rPr>
              <w:t xml:space="preserve"> </w:t>
            </w:r>
          </w:p>
          <w:p w:rsidR="00E85004" w:rsidRDefault="001D72B7" w:rsidP="001D72B7">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0,1286</w:t>
            </w:r>
          </w:p>
          <w:p w:rsidR="001D72B7" w:rsidRPr="001D72B7" w:rsidRDefault="001D72B7" w:rsidP="001D72B7">
            <w:pPr>
              <w:spacing w:after="0"/>
              <w:jc w:val="center"/>
              <w:rPr>
                <w:rFonts w:ascii="Times New Roman" w:eastAsia="Times New Roman" w:hAnsi="Times New Roman"/>
                <w:sz w:val="18"/>
                <w:szCs w:val="20"/>
                <w:lang w:val="en-US" w:eastAsia="pl-PL"/>
              </w:rPr>
            </w:pPr>
            <w:proofErr w:type="spellStart"/>
            <w:r w:rsidRPr="001D72B7">
              <w:rPr>
                <w:rFonts w:ascii="Times New Roman" w:eastAsia="Times New Roman" w:hAnsi="Times New Roman"/>
                <w:sz w:val="18"/>
                <w:szCs w:val="20"/>
                <w:lang w:val="en-US" w:eastAsia="pl-PL"/>
              </w:rPr>
              <w:t>RIIIb</w:t>
            </w:r>
            <w:proofErr w:type="spellEnd"/>
            <w:r w:rsidRPr="001D72B7">
              <w:rPr>
                <w:rFonts w:ascii="Times New Roman" w:eastAsia="Times New Roman" w:hAnsi="Times New Roman"/>
                <w:sz w:val="18"/>
                <w:szCs w:val="20"/>
                <w:lang w:val="en-US" w:eastAsia="pl-PL"/>
              </w:rPr>
              <w:t xml:space="preserve">  0,0552</w:t>
            </w:r>
          </w:p>
          <w:p w:rsidR="001D72B7" w:rsidRPr="001D72B7" w:rsidRDefault="001D72B7" w:rsidP="001D72B7">
            <w:pPr>
              <w:spacing w:after="0"/>
              <w:jc w:val="center"/>
              <w:rPr>
                <w:rFonts w:ascii="Times New Roman" w:eastAsia="Times New Roman" w:hAnsi="Times New Roman"/>
                <w:sz w:val="18"/>
                <w:szCs w:val="20"/>
                <w:lang w:val="en-US" w:eastAsia="pl-PL"/>
              </w:rPr>
            </w:pPr>
            <w:proofErr w:type="spellStart"/>
            <w:r w:rsidRPr="001D72B7">
              <w:rPr>
                <w:rFonts w:ascii="Times New Roman" w:eastAsia="Times New Roman" w:hAnsi="Times New Roman"/>
                <w:sz w:val="18"/>
                <w:szCs w:val="20"/>
                <w:lang w:val="en-US" w:eastAsia="pl-PL"/>
              </w:rPr>
              <w:t>RIVa</w:t>
            </w:r>
            <w:proofErr w:type="spellEnd"/>
            <w:r w:rsidRPr="001D72B7">
              <w:rPr>
                <w:rFonts w:ascii="Times New Roman" w:eastAsia="Times New Roman" w:hAnsi="Times New Roman"/>
                <w:sz w:val="18"/>
                <w:szCs w:val="20"/>
                <w:lang w:val="en-US" w:eastAsia="pl-PL"/>
              </w:rPr>
              <w:t xml:space="preserve">  0,0017</w:t>
            </w:r>
          </w:p>
          <w:p w:rsidR="00E85004" w:rsidRDefault="001D72B7" w:rsidP="001D72B7">
            <w:pPr>
              <w:spacing w:after="0"/>
              <w:jc w:val="center"/>
              <w:rPr>
                <w:rFonts w:ascii="Times New Roman" w:eastAsia="Times New Roman" w:hAnsi="Times New Roman"/>
                <w:sz w:val="18"/>
                <w:szCs w:val="20"/>
                <w:lang w:val="en-US" w:eastAsia="pl-PL"/>
              </w:rPr>
            </w:pPr>
            <w:proofErr w:type="spellStart"/>
            <w:r w:rsidRPr="001D72B7">
              <w:rPr>
                <w:rFonts w:ascii="Times New Roman" w:eastAsia="Times New Roman" w:hAnsi="Times New Roman"/>
                <w:sz w:val="18"/>
                <w:szCs w:val="20"/>
                <w:lang w:val="en-US" w:eastAsia="pl-PL"/>
              </w:rPr>
              <w:t>Bp</w:t>
            </w:r>
            <w:proofErr w:type="spellEnd"/>
            <w:r w:rsidRPr="001D72B7">
              <w:rPr>
                <w:rFonts w:ascii="Times New Roman" w:eastAsia="Times New Roman" w:hAnsi="Times New Roman"/>
                <w:sz w:val="18"/>
                <w:szCs w:val="20"/>
                <w:lang w:val="en-US" w:eastAsia="pl-PL"/>
              </w:rPr>
              <w:t xml:space="preserve">      0,0717</w:t>
            </w:r>
          </w:p>
        </w:tc>
        <w:tc>
          <w:tcPr>
            <w:tcW w:w="1800" w:type="dxa"/>
            <w:tcBorders>
              <w:top w:val="single" w:sz="4" w:space="0" w:color="auto"/>
              <w:left w:val="single" w:sz="4" w:space="0" w:color="auto"/>
              <w:bottom w:val="single" w:sz="4" w:space="0" w:color="auto"/>
              <w:right w:val="single" w:sz="4" w:space="0" w:color="auto"/>
            </w:tcBorders>
            <w:hideMark/>
          </w:tcPr>
          <w:p w:rsidR="00E85004" w:rsidRDefault="00362B55">
            <w:pPr>
              <w:spacing w:after="0" w:line="240" w:lineRule="auto"/>
              <w:rPr>
                <w:rFonts w:ascii="Times New Roman" w:eastAsia="Times New Roman" w:hAnsi="Times New Roman"/>
                <w:sz w:val="18"/>
                <w:szCs w:val="20"/>
                <w:lang w:eastAsia="pl-PL"/>
              </w:rPr>
            </w:pPr>
            <w:r>
              <w:rPr>
                <w:rFonts w:ascii="Times New Roman" w:eastAsia="Times New Roman" w:hAnsi="Times New Roman"/>
                <w:sz w:val="20"/>
                <w:szCs w:val="20"/>
                <w:lang w:eastAsia="pl-PL"/>
              </w:rPr>
              <w:t>11MW – zabudowa mieszkaniowa wielorodzinna</w:t>
            </w:r>
          </w:p>
        </w:tc>
        <w:tc>
          <w:tcPr>
            <w:tcW w:w="1177"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b/>
                <w:color w:val="2F5496" w:themeColor="accent5" w:themeShade="BF"/>
                <w:sz w:val="20"/>
                <w:szCs w:val="20"/>
                <w:lang w:eastAsia="pl-PL"/>
              </w:rPr>
            </w:pPr>
          </w:p>
          <w:p w:rsidR="00E85004" w:rsidRDefault="00362B5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57 000,00</w:t>
            </w:r>
          </w:p>
          <w:p w:rsidR="00E85004" w:rsidRDefault="00E8500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E85004" w:rsidRDefault="00E85004">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b/>
                <w:i/>
                <w:color w:val="2F5496" w:themeColor="accent5" w:themeShade="BF"/>
                <w:sz w:val="20"/>
                <w:szCs w:val="20"/>
                <w:lang w:eastAsia="pl-PL"/>
              </w:rPr>
            </w:pPr>
          </w:p>
          <w:p w:rsidR="00E85004" w:rsidRDefault="00362B5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5 700,00</w:t>
            </w:r>
          </w:p>
          <w:p w:rsidR="00E85004" w:rsidRDefault="00E85004">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E85004" w:rsidRDefault="00E85004" w:rsidP="002A1425">
            <w:pPr>
              <w:spacing w:after="0" w:line="240" w:lineRule="auto"/>
              <w:jc w:val="both"/>
              <w:rPr>
                <w:rFonts w:ascii="Times New Roman" w:eastAsia="Times New Roman" w:hAnsi="Times New Roman"/>
                <w:i/>
                <w:color w:val="2F5496" w:themeColor="accent5" w:themeShade="BF"/>
                <w:sz w:val="16"/>
                <w:szCs w:val="16"/>
                <w:lang w:eastAsia="pl-PL"/>
              </w:rPr>
            </w:pPr>
            <w:r w:rsidRPr="00FA29BD">
              <w:rPr>
                <w:rFonts w:ascii="Times New Roman" w:eastAsia="Times New Roman" w:hAnsi="Times New Roman"/>
                <w:sz w:val="16"/>
                <w:szCs w:val="16"/>
                <w:lang w:eastAsia="pl-PL"/>
              </w:rPr>
              <w:t xml:space="preserve">do </w:t>
            </w:r>
            <w:r w:rsidR="002A1425" w:rsidRPr="00FA29BD">
              <w:rPr>
                <w:rFonts w:ascii="Times New Roman" w:eastAsia="Times New Roman" w:hAnsi="Times New Roman"/>
                <w:sz w:val="16"/>
                <w:szCs w:val="16"/>
                <w:lang w:eastAsia="pl-PL"/>
              </w:rPr>
              <w:t>16.</w:t>
            </w:r>
            <w:r w:rsidR="007D721F" w:rsidRPr="00FA29BD">
              <w:rPr>
                <w:rFonts w:ascii="Times New Roman" w:eastAsia="Times New Roman" w:hAnsi="Times New Roman"/>
                <w:sz w:val="16"/>
                <w:szCs w:val="16"/>
                <w:lang w:eastAsia="pl-PL"/>
              </w:rPr>
              <w:t>08.2018</w:t>
            </w:r>
            <w:r w:rsidRPr="00FA29BD">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both"/>
              <w:rPr>
                <w:rFonts w:ascii="Times New Roman" w:eastAsia="Times New Roman" w:hAnsi="Times New Roman"/>
                <w:b/>
                <w:i/>
                <w:color w:val="2F5496" w:themeColor="accent5" w:themeShade="BF"/>
                <w:sz w:val="20"/>
                <w:szCs w:val="20"/>
                <w:lang w:eastAsia="pl-PL"/>
              </w:rPr>
            </w:pPr>
          </w:p>
          <w:p w:rsidR="00E85004" w:rsidRDefault="00E85004" w:rsidP="00362B55">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color w:val="2F5496" w:themeColor="accent5" w:themeShade="BF"/>
                <w:sz w:val="20"/>
                <w:szCs w:val="20"/>
                <w:lang w:eastAsia="pl-PL"/>
              </w:rPr>
              <w:t xml:space="preserve">  </w:t>
            </w:r>
            <w:r w:rsidR="00362B55">
              <w:rPr>
                <w:rFonts w:ascii="Times New Roman" w:eastAsia="Times New Roman" w:hAnsi="Times New Roman"/>
                <w:b/>
                <w:sz w:val="20"/>
                <w:szCs w:val="20"/>
                <w:lang w:eastAsia="pl-PL"/>
              </w:rPr>
              <w:t>570,00</w:t>
            </w:r>
          </w:p>
        </w:tc>
        <w:tc>
          <w:tcPr>
            <w:tcW w:w="1980" w:type="dxa"/>
            <w:tcBorders>
              <w:top w:val="single" w:sz="4" w:space="0" w:color="auto"/>
              <w:left w:val="single" w:sz="4" w:space="0" w:color="auto"/>
              <w:bottom w:val="single" w:sz="4" w:space="0" w:color="auto"/>
              <w:right w:val="single" w:sz="4" w:space="0" w:color="auto"/>
            </w:tcBorders>
          </w:tcPr>
          <w:p w:rsidR="00E85004" w:rsidRDefault="00E85004">
            <w:pPr>
              <w:spacing w:after="0" w:line="240" w:lineRule="auto"/>
              <w:jc w:val="center"/>
              <w:rPr>
                <w:rFonts w:ascii="Times New Roman" w:eastAsia="Times New Roman" w:hAnsi="Times New Roman"/>
                <w:b/>
                <w:i/>
                <w:sz w:val="18"/>
                <w:szCs w:val="20"/>
                <w:lang w:eastAsia="pl-PL"/>
              </w:rPr>
            </w:pPr>
          </w:p>
          <w:p w:rsidR="00E85004" w:rsidRPr="00FA29BD" w:rsidRDefault="002A1425">
            <w:pPr>
              <w:spacing w:after="0" w:line="240" w:lineRule="auto"/>
              <w:jc w:val="center"/>
              <w:rPr>
                <w:rFonts w:ascii="Times New Roman" w:eastAsia="Times New Roman" w:hAnsi="Times New Roman"/>
                <w:b/>
                <w:sz w:val="18"/>
                <w:szCs w:val="20"/>
                <w:lang w:eastAsia="pl-PL"/>
              </w:rPr>
            </w:pPr>
            <w:r w:rsidRPr="00FA29BD">
              <w:rPr>
                <w:rFonts w:ascii="Times New Roman" w:eastAsia="Times New Roman" w:hAnsi="Times New Roman"/>
                <w:b/>
                <w:sz w:val="18"/>
                <w:szCs w:val="20"/>
                <w:lang w:eastAsia="pl-PL"/>
              </w:rPr>
              <w:t>22</w:t>
            </w:r>
            <w:r w:rsidR="007D721F" w:rsidRPr="00FA29BD">
              <w:rPr>
                <w:rFonts w:ascii="Times New Roman" w:eastAsia="Times New Roman" w:hAnsi="Times New Roman"/>
                <w:b/>
                <w:sz w:val="18"/>
                <w:szCs w:val="20"/>
                <w:lang w:eastAsia="pl-PL"/>
              </w:rPr>
              <w:t xml:space="preserve"> sierpnia 2018</w:t>
            </w:r>
            <w:r w:rsidR="00E85004" w:rsidRPr="00FA29BD">
              <w:rPr>
                <w:rFonts w:ascii="Times New Roman" w:eastAsia="Times New Roman" w:hAnsi="Times New Roman"/>
                <w:b/>
                <w:sz w:val="18"/>
                <w:szCs w:val="20"/>
                <w:lang w:eastAsia="pl-PL"/>
              </w:rPr>
              <w:t xml:space="preserve"> r.</w:t>
            </w:r>
          </w:p>
          <w:p w:rsidR="00E85004" w:rsidRPr="00FA29BD" w:rsidRDefault="00E85004">
            <w:pPr>
              <w:spacing w:after="0" w:line="240" w:lineRule="auto"/>
              <w:jc w:val="center"/>
              <w:rPr>
                <w:rFonts w:ascii="Times New Roman" w:eastAsia="Times New Roman" w:hAnsi="Times New Roman"/>
                <w:b/>
                <w:sz w:val="18"/>
                <w:szCs w:val="18"/>
                <w:vertAlign w:val="superscript"/>
                <w:lang w:eastAsia="pl-PL"/>
              </w:rPr>
            </w:pPr>
            <w:r w:rsidRPr="00FA29BD">
              <w:rPr>
                <w:rFonts w:ascii="Times New Roman" w:eastAsia="Times New Roman" w:hAnsi="Times New Roman"/>
                <w:b/>
                <w:sz w:val="18"/>
                <w:szCs w:val="20"/>
                <w:lang w:eastAsia="pl-PL"/>
              </w:rPr>
              <w:t>o  godz</w:t>
            </w:r>
            <w:r w:rsidRPr="00FA29BD">
              <w:rPr>
                <w:rFonts w:ascii="Times New Roman" w:eastAsia="Times New Roman" w:hAnsi="Times New Roman"/>
                <w:b/>
                <w:sz w:val="18"/>
                <w:szCs w:val="18"/>
                <w:lang w:eastAsia="pl-PL"/>
              </w:rPr>
              <w:t xml:space="preserve">. 9 </w:t>
            </w:r>
            <w:r w:rsidRPr="00FA29BD">
              <w:rPr>
                <w:rFonts w:ascii="Times New Roman" w:eastAsia="Times New Roman" w:hAnsi="Times New Roman"/>
                <w:b/>
                <w:sz w:val="18"/>
                <w:szCs w:val="18"/>
                <w:vertAlign w:val="superscript"/>
                <w:lang w:eastAsia="pl-PL"/>
              </w:rPr>
              <w:t>00</w:t>
            </w:r>
          </w:p>
          <w:p w:rsidR="00E85004" w:rsidRPr="00FA29BD" w:rsidRDefault="00E85004">
            <w:pPr>
              <w:spacing w:after="0" w:line="240" w:lineRule="auto"/>
              <w:jc w:val="center"/>
              <w:rPr>
                <w:rFonts w:ascii="Times New Roman" w:eastAsia="Times New Roman" w:hAnsi="Times New Roman"/>
                <w:b/>
                <w:sz w:val="18"/>
                <w:szCs w:val="20"/>
                <w:lang w:eastAsia="pl-PL"/>
              </w:rPr>
            </w:pPr>
            <w:r w:rsidRPr="00FA29BD">
              <w:rPr>
                <w:rFonts w:ascii="Times New Roman" w:eastAsia="Times New Roman" w:hAnsi="Times New Roman"/>
                <w:b/>
                <w:sz w:val="18"/>
                <w:szCs w:val="20"/>
                <w:lang w:eastAsia="pl-PL"/>
              </w:rPr>
              <w:t>Urząd  Gminy Chełmża</w:t>
            </w:r>
          </w:p>
          <w:p w:rsidR="00E85004" w:rsidRDefault="00E85004">
            <w:pPr>
              <w:spacing w:after="0" w:line="240" w:lineRule="auto"/>
              <w:jc w:val="center"/>
              <w:rPr>
                <w:rFonts w:ascii="Times New Roman" w:eastAsia="Times New Roman" w:hAnsi="Times New Roman"/>
                <w:b/>
                <w:i/>
                <w:sz w:val="18"/>
                <w:szCs w:val="20"/>
                <w:lang w:eastAsia="pl-PL"/>
              </w:rPr>
            </w:pPr>
            <w:r w:rsidRPr="00FA29BD">
              <w:rPr>
                <w:rFonts w:ascii="Times New Roman" w:eastAsia="Times New Roman" w:hAnsi="Times New Roman"/>
                <w:b/>
                <w:sz w:val="18"/>
                <w:szCs w:val="20"/>
                <w:lang w:eastAsia="pl-PL"/>
              </w:rPr>
              <w:t>ul.  Wodna 2, pok. Nr 4</w:t>
            </w:r>
          </w:p>
        </w:tc>
      </w:tr>
    </w:tbl>
    <w:p w:rsidR="00E85004" w:rsidRDefault="00E85004" w:rsidP="00E85004">
      <w:pPr>
        <w:spacing w:after="0" w:line="240" w:lineRule="auto"/>
        <w:jc w:val="both"/>
        <w:rPr>
          <w:rFonts w:ascii="Times New Roman" w:eastAsia="Times New Roman" w:hAnsi="Times New Roman"/>
          <w:sz w:val="20"/>
          <w:szCs w:val="20"/>
          <w:lang w:eastAsia="pl-PL"/>
        </w:rPr>
      </w:pPr>
    </w:p>
    <w:p w:rsidR="00362B55" w:rsidRPr="00362B55" w:rsidRDefault="00362B55" w:rsidP="00362B55">
      <w:pPr>
        <w:spacing w:after="0" w:line="240" w:lineRule="auto"/>
        <w:jc w:val="both"/>
        <w:rPr>
          <w:rFonts w:ascii="Times New Roman" w:eastAsia="Times New Roman" w:hAnsi="Times New Roman"/>
          <w:color w:val="000000"/>
          <w:sz w:val="20"/>
          <w:szCs w:val="20"/>
          <w:lang w:eastAsia="pl-PL"/>
        </w:rPr>
      </w:pPr>
      <w:r w:rsidRPr="00362B55">
        <w:rPr>
          <w:rFonts w:ascii="Times New Roman" w:eastAsia="Times New Roman" w:hAnsi="Times New Roman"/>
          <w:color w:val="000000"/>
          <w:sz w:val="20"/>
          <w:szCs w:val="20"/>
          <w:lang w:eastAsia="pl-PL"/>
        </w:rPr>
        <w:t>Nieruchomość niezabudowana z rozpoczętą budową (fundamenty) bez aktualnej dokumentacji i pozwolenia na budowę.</w:t>
      </w:r>
    </w:p>
    <w:p w:rsidR="00362B55" w:rsidRPr="00362B55" w:rsidRDefault="00362B55" w:rsidP="00362B55">
      <w:pPr>
        <w:spacing w:after="0" w:line="240" w:lineRule="auto"/>
        <w:jc w:val="both"/>
        <w:rPr>
          <w:rFonts w:ascii="Times New Roman" w:eastAsia="Times New Roman" w:hAnsi="Times New Roman"/>
          <w:color w:val="000000"/>
          <w:sz w:val="20"/>
          <w:szCs w:val="20"/>
          <w:lang w:eastAsia="pl-PL"/>
        </w:rPr>
      </w:pPr>
      <w:r w:rsidRPr="00362B55">
        <w:rPr>
          <w:rFonts w:ascii="Times New Roman" w:eastAsia="Times New Roman" w:hAnsi="Times New Roman"/>
          <w:color w:val="000000"/>
          <w:sz w:val="20"/>
          <w:szCs w:val="20"/>
          <w:lang w:eastAsia="pl-PL"/>
        </w:rPr>
        <w:t xml:space="preserve">Uzbrojona w sieci infrastruktury technicznej: w sieć elektroenergetyczną, w zasięgu gminnej sieci wodociągowej i telekomunikacyjnej. Obecnie odprowadzanie ścieków sanitarnych do </w:t>
      </w:r>
      <w:r w:rsidR="00874FE2">
        <w:rPr>
          <w:rFonts w:ascii="Times New Roman" w:eastAsia="Times New Roman" w:hAnsi="Times New Roman"/>
          <w:color w:val="000000"/>
          <w:sz w:val="20"/>
          <w:szCs w:val="20"/>
          <w:lang w:eastAsia="pl-PL"/>
        </w:rPr>
        <w:t>szczeln</w:t>
      </w:r>
      <w:r w:rsidR="005A7E52">
        <w:rPr>
          <w:rFonts w:ascii="Times New Roman" w:eastAsia="Times New Roman" w:hAnsi="Times New Roman"/>
          <w:color w:val="000000"/>
          <w:sz w:val="20"/>
          <w:szCs w:val="20"/>
          <w:lang w:eastAsia="pl-PL"/>
        </w:rPr>
        <w:t>ego</w:t>
      </w:r>
      <w:r w:rsidR="00874FE2">
        <w:rPr>
          <w:rFonts w:ascii="Times New Roman" w:eastAsia="Times New Roman" w:hAnsi="Times New Roman"/>
          <w:color w:val="000000"/>
          <w:sz w:val="20"/>
          <w:szCs w:val="20"/>
          <w:lang w:eastAsia="pl-PL"/>
        </w:rPr>
        <w:t xml:space="preserve"> </w:t>
      </w:r>
      <w:r w:rsidRPr="00362B55">
        <w:rPr>
          <w:rFonts w:ascii="Times New Roman" w:eastAsia="Times New Roman" w:hAnsi="Times New Roman"/>
          <w:color w:val="000000"/>
          <w:sz w:val="20"/>
          <w:szCs w:val="20"/>
          <w:lang w:eastAsia="pl-PL"/>
        </w:rPr>
        <w:t>zbiornik</w:t>
      </w:r>
      <w:r w:rsidR="005A7E52">
        <w:rPr>
          <w:rFonts w:ascii="Times New Roman" w:eastAsia="Times New Roman" w:hAnsi="Times New Roman"/>
          <w:color w:val="000000"/>
          <w:sz w:val="20"/>
          <w:szCs w:val="20"/>
          <w:lang w:eastAsia="pl-PL"/>
        </w:rPr>
        <w:t>a</w:t>
      </w:r>
      <w:r w:rsidRPr="00362B55">
        <w:rPr>
          <w:rFonts w:ascii="Times New Roman" w:eastAsia="Times New Roman" w:hAnsi="Times New Roman"/>
          <w:color w:val="000000"/>
          <w:sz w:val="20"/>
          <w:szCs w:val="20"/>
          <w:lang w:eastAsia="pl-PL"/>
        </w:rPr>
        <w:t xml:space="preserve"> wybieraln</w:t>
      </w:r>
      <w:r w:rsidR="005A7E52">
        <w:rPr>
          <w:rFonts w:ascii="Times New Roman" w:eastAsia="Times New Roman" w:hAnsi="Times New Roman"/>
          <w:color w:val="000000"/>
          <w:sz w:val="20"/>
          <w:szCs w:val="20"/>
          <w:lang w:eastAsia="pl-PL"/>
        </w:rPr>
        <w:t>ego</w:t>
      </w:r>
      <w:r w:rsidRPr="00362B55">
        <w:rPr>
          <w:rFonts w:ascii="Times New Roman" w:eastAsia="Times New Roman" w:hAnsi="Times New Roman"/>
          <w:color w:val="000000"/>
          <w:sz w:val="20"/>
          <w:szCs w:val="20"/>
          <w:lang w:eastAsia="pl-PL"/>
        </w:rPr>
        <w:t>, a docelowo do projektowanej, komunalnej kanalizacji sanitarnej.</w:t>
      </w:r>
    </w:p>
    <w:p w:rsidR="00E85004" w:rsidRPr="0053243E" w:rsidRDefault="00E85004" w:rsidP="00E85004">
      <w:pPr>
        <w:spacing w:after="0" w:line="240" w:lineRule="auto"/>
        <w:jc w:val="both"/>
        <w:rPr>
          <w:rFonts w:ascii="Times New Roman" w:eastAsia="Times New Roman" w:hAnsi="Times New Roman"/>
          <w:b/>
          <w:sz w:val="20"/>
          <w:szCs w:val="20"/>
          <w:lang w:eastAsia="pl-PL"/>
        </w:rPr>
      </w:pPr>
      <w:r w:rsidRPr="0053243E">
        <w:rPr>
          <w:rFonts w:ascii="Times New Roman" w:eastAsia="Times New Roman" w:hAnsi="Times New Roman"/>
          <w:sz w:val="20"/>
          <w:szCs w:val="20"/>
          <w:lang w:eastAsia="pl-PL"/>
        </w:rPr>
        <w:t xml:space="preserve">Dla nieruchomości </w:t>
      </w:r>
      <w:r w:rsidRPr="0053243E">
        <w:rPr>
          <w:rFonts w:ascii="Times New Roman" w:eastAsia="Times New Roman" w:hAnsi="Times New Roman"/>
          <w:b/>
          <w:sz w:val="20"/>
          <w:szCs w:val="20"/>
          <w:lang w:eastAsia="pl-PL"/>
        </w:rPr>
        <w:t xml:space="preserve">ustala się wadium w wysokości 10% ceny wywoławczej netto. Wadium należy wnieść w pieniądzu </w:t>
      </w:r>
      <w:r w:rsidRPr="0053243E">
        <w:rPr>
          <w:rFonts w:ascii="Times New Roman" w:eastAsia="Times New Roman" w:hAnsi="Times New Roman"/>
          <w:sz w:val="20"/>
          <w:szCs w:val="20"/>
          <w:lang w:eastAsia="pl-PL"/>
        </w:rPr>
        <w:t xml:space="preserve">w podanym wyżej terminie w kasie Urzędu Gminy Chełmża, ul. Wodna 2 lub </w:t>
      </w:r>
      <w:r w:rsidRPr="0053243E">
        <w:rPr>
          <w:rFonts w:ascii="Times New Roman" w:eastAsia="Times New Roman" w:hAnsi="Times New Roman"/>
          <w:b/>
          <w:sz w:val="20"/>
          <w:szCs w:val="20"/>
          <w:lang w:eastAsia="pl-PL"/>
        </w:rPr>
        <w:t>na konto Gminy Chełmża - PKO Chełmża Nr 26  1020  5011  0000  9002  0016  3857</w:t>
      </w:r>
      <w:r w:rsidRPr="0053243E">
        <w:rPr>
          <w:rFonts w:ascii="Times New Roman" w:eastAsia="Times New Roman" w:hAnsi="Times New Roman"/>
          <w:sz w:val="20"/>
          <w:szCs w:val="20"/>
          <w:lang w:eastAsia="pl-PL"/>
        </w:rPr>
        <w:t xml:space="preserve"> (za datę wpłaty uznaje się datę wpływu wadium na konto Gminy Chełmża).</w:t>
      </w:r>
    </w:p>
    <w:p w:rsidR="00E85004" w:rsidRPr="0053243E" w:rsidRDefault="00E85004" w:rsidP="00E85004">
      <w:pPr>
        <w:spacing w:after="0" w:line="240" w:lineRule="auto"/>
        <w:jc w:val="both"/>
        <w:rPr>
          <w:rFonts w:ascii="Times New Roman" w:eastAsia="Times New Roman" w:hAnsi="Times New Roman"/>
          <w:sz w:val="20"/>
          <w:szCs w:val="20"/>
          <w:lang w:eastAsia="pl-PL"/>
        </w:rPr>
      </w:pPr>
      <w:r w:rsidRPr="0053243E">
        <w:rPr>
          <w:rFonts w:ascii="Times New Roman" w:eastAsia="Times New Roman" w:hAnsi="Times New Roman"/>
          <w:sz w:val="20"/>
          <w:szCs w:val="20"/>
          <w:lang w:eastAsia="pl-PL"/>
        </w:rPr>
        <w:t xml:space="preserve">Jeżeli wadium wpłacane jest przez jednego ze współmałżonków w opisie wpłaty oprócz określenia nieruchomości której dotyczy </w:t>
      </w:r>
      <w:r w:rsidR="005A7E52">
        <w:rPr>
          <w:rFonts w:ascii="Times New Roman" w:eastAsia="Times New Roman" w:hAnsi="Times New Roman"/>
          <w:sz w:val="20"/>
          <w:szCs w:val="20"/>
          <w:lang w:eastAsia="pl-PL"/>
        </w:rPr>
        <w:t xml:space="preserve">wpłata </w:t>
      </w:r>
      <w:r w:rsidRPr="0053243E">
        <w:rPr>
          <w:rFonts w:ascii="Times New Roman" w:eastAsia="Times New Roman" w:hAnsi="Times New Roman"/>
          <w:sz w:val="20"/>
          <w:szCs w:val="20"/>
          <w:lang w:eastAsia="pl-PL"/>
        </w:rPr>
        <w:t>należy wpisać jeżeli uczestnikami licytacji mają być małżonkowie ich imiona i nazwisko.</w:t>
      </w:r>
    </w:p>
    <w:p w:rsidR="00E85004" w:rsidRPr="0053243E" w:rsidRDefault="00E85004" w:rsidP="00E85004">
      <w:pPr>
        <w:spacing w:after="0" w:line="240" w:lineRule="auto"/>
        <w:jc w:val="both"/>
        <w:rPr>
          <w:rFonts w:ascii="Times New Roman" w:eastAsia="Times New Roman" w:hAnsi="Times New Roman"/>
          <w:sz w:val="20"/>
          <w:szCs w:val="20"/>
          <w:lang w:eastAsia="pl-PL"/>
        </w:rPr>
      </w:pPr>
      <w:r w:rsidRPr="0053243E">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E85004" w:rsidRPr="00D24436" w:rsidRDefault="00E85004" w:rsidP="00E85004">
      <w:pPr>
        <w:spacing w:after="0" w:line="240" w:lineRule="auto"/>
        <w:jc w:val="both"/>
        <w:rPr>
          <w:rFonts w:ascii="Times New Roman" w:eastAsia="Times New Roman" w:hAnsi="Times New Roman"/>
          <w:color w:val="4472C4" w:themeColor="accent5"/>
          <w:sz w:val="20"/>
          <w:szCs w:val="20"/>
          <w:lang w:eastAsia="pl-PL"/>
        </w:rPr>
      </w:pPr>
      <w:r w:rsidRPr="0053243E">
        <w:rPr>
          <w:rFonts w:ascii="Times New Roman" w:eastAsia="Times New Roman" w:hAnsi="Times New Roman"/>
          <w:sz w:val="20"/>
          <w:szCs w:val="20"/>
          <w:lang w:eastAsia="pl-PL"/>
        </w:rPr>
        <w:t xml:space="preserve">W przetargu mogą wziąć udział osoby fizyczne i prawne, jeżeli wpłacą wadium w terminie. </w:t>
      </w:r>
    </w:p>
    <w:p w:rsidR="00E85004" w:rsidRPr="0053243E" w:rsidRDefault="00E85004" w:rsidP="00E85004">
      <w:pPr>
        <w:spacing w:after="0" w:line="240" w:lineRule="auto"/>
        <w:jc w:val="both"/>
        <w:rPr>
          <w:rFonts w:ascii="Times New Roman" w:eastAsia="Times New Roman" w:hAnsi="Times New Roman"/>
          <w:sz w:val="20"/>
          <w:szCs w:val="20"/>
          <w:lang w:eastAsia="pl-PL"/>
        </w:rPr>
      </w:pPr>
      <w:r w:rsidRPr="0053243E">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E85004" w:rsidRPr="00F02426" w:rsidRDefault="00E85004" w:rsidP="00E85004">
      <w:pPr>
        <w:spacing w:after="0" w:line="240" w:lineRule="auto"/>
        <w:jc w:val="both"/>
        <w:rPr>
          <w:rFonts w:ascii="Times New Roman" w:eastAsia="Times New Roman" w:hAnsi="Times New Roman"/>
          <w:sz w:val="20"/>
          <w:szCs w:val="20"/>
          <w:lang w:eastAsia="pl-PL"/>
        </w:rPr>
      </w:pPr>
      <w:r w:rsidRPr="00F02426">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1E5BF5" w:rsidRDefault="001E5BF5" w:rsidP="00E85004">
      <w:pPr>
        <w:spacing w:after="0" w:line="240" w:lineRule="auto"/>
        <w:jc w:val="both"/>
        <w:rPr>
          <w:rFonts w:ascii="Times New Roman" w:eastAsia="Times New Roman" w:hAnsi="Times New Roman"/>
          <w:b/>
          <w:sz w:val="20"/>
          <w:szCs w:val="20"/>
          <w:lang w:eastAsia="pl-PL"/>
        </w:rPr>
      </w:pPr>
    </w:p>
    <w:p w:rsidR="00E85004" w:rsidRPr="00F02426" w:rsidRDefault="00E85004" w:rsidP="00E85004">
      <w:pPr>
        <w:spacing w:after="0" w:line="240" w:lineRule="auto"/>
        <w:jc w:val="both"/>
        <w:rPr>
          <w:rFonts w:ascii="Times New Roman" w:eastAsia="Times New Roman" w:hAnsi="Times New Roman"/>
          <w:b/>
          <w:sz w:val="20"/>
          <w:szCs w:val="20"/>
          <w:lang w:eastAsia="pl-PL"/>
        </w:rPr>
      </w:pPr>
      <w:bookmarkStart w:id="0" w:name="_GoBack"/>
      <w:bookmarkEnd w:id="0"/>
      <w:r w:rsidRPr="00F02426">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rsidR="00E85004" w:rsidRPr="00F02426" w:rsidRDefault="00E85004" w:rsidP="00E85004">
      <w:pPr>
        <w:spacing w:after="0" w:line="240" w:lineRule="auto"/>
        <w:jc w:val="both"/>
        <w:rPr>
          <w:rFonts w:ascii="Times New Roman" w:eastAsia="Times New Roman" w:hAnsi="Times New Roman"/>
          <w:b/>
          <w:sz w:val="20"/>
          <w:szCs w:val="20"/>
          <w:lang w:eastAsia="pl-PL"/>
        </w:rPr>
      </w:pPr>
      <w:r w:rsidRPr="00F02426">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E85004" w:rsidRPr="00F02426" w:rsidRDefault="00E85004" w:rsidP="00E85004">
      <w:pPr>
        <w:spacing w:after="0" w:line="240" w:lineRule="auto"/>
        <w:jc w:val="both"/>
        <w:rPr>
          <w:rFonts w:ascii="Times New Roman" w:eastAsia="Times New Roman" w:hAnsi="Times New Roman"/>
          <w:b/>
          <w:sz w:val="20"/>
          <w:szCs w:val="20"/>
          <w:lang w:eastAsia="pl-PL"/>
        </w:rPr>
      </w:pPr>
      <w:r w:rsidRPr="00F02426">
        <w:rPr>
          <w:rFonts w:ascii="Times New Roman" w:eastAsia="Times New Roman" w:hAnsi="Times New Roman"/>
          <w:b/>
          <w:sz w:val="20"/>
          <w:szCs w:val="20"/>
          <w:lang w:eastAsia="pl-PL"/>
        </w:rPr>
        <w:t>Do wylicytowanej w przetargu ceny sprzedaży nieruchomości zostanie doliczony podatek VAT w wysokości 23%.</w:t>
      </w:r>
    </w:p>
    <w:p w:rsidR="00F02426" w:rsidRPr="00F02426" w:rsidRDefault="00F02426" w:rsidP="00E85004">
      <w:pPr>
        <w:spacing w:after="0" w:line="240" w:lineRule="auto"/>
        <w:jc w:val="both"/>
        <w:rPr>
          <w:rFonts w:ascii="Times New Roman" w:eastAsia="Times New Roman" w:hAnsi="Times New Roman"/>
          <w:sz w:val="20"/>
          <w:szCs w:val="20"/>
          <w:lang w:eastAsia="pl-PL"/>
        </w:rPr>
      </w:pPr>
      <w:r w:rsidRPr="00F02426">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sidRPr="00F02426">
        <w:rPr>
          <w:rFonts w:ascii="Times New Roman" w:eastAsia="Times New Roman" w:hAnsi="Times New Roman"/>
          <w:sz w:val="20"/>
          <w:szCs w:val="20"/>
          <w:lang w:eastAsia="pl-PL"/>
        </w:rPr>
        <w:t>Dz.Urz</w:t>
      </w:r>
      <w:proofErr w:type="spellEnd"/>
      <w:r w:rsidRPr="00F02426">
        <w:rPr>
          <w:rFonts w:ascii="Times New Roman" w:eastAsia="Times New Roman" w:hAnsi="Times New Roman"/>
          <w:sz w:val="20"/>
          <w:szCs w:val="20"/>
          <w:lang w:eastAsia="pl-PL"/>
        </w:rPr>
        <w:t>. Woj. Kuj. – Pom. z 2006 r. Nr 108, poz. 1650) - zabudowa mieszkaniowa wielorodzinna.</w:t>
      </w:r>
    </w:p>
    <w:p w:rsidR="00E85004" w:rsidRDefault="00E85004" w:rsidP="00E85004">
      <w:pPr>
        <w:spacing w:after="0" w:line="240" w:lineRule="auto"/>
        <w:jc w:val="both"/>
        <w:rPr>
          <w:rFonts w:ascii="Times New Roman" w:eastAsia="Times New Roman" w:hAnsi="Times New Roman"/>
          <w:sz w:val="20"/>
          <w:szCs w:val="20"/>
          <w:lang w:eastAsia="pl-PL"/>
        </w:rPr>
      </w:pPr>
      <w:r w:rsidRPr="00F02426">
        <w:rPr>
          <w:rFonts w:ascii="Times New Roman" w:eastAsia="Times New Roman" w:hAnsi="Times New Roman"/>
          <w:sz w:val="20"/>
          <w:szCs w:val="20"/>
          <w:lang w:eastAsia="pl-PL"/>
        </w:rPr>
        <w:t>Nieruchomość objęta przetargiem wolna jest od jakichkolwiek obciążeń. Sprzedaż następuje na podstawie  ustawy z dnia 21 sierpnia 1997 r. o gospodarce nieruchomościami.</w:t>
      </w:r>
    </w:p>
    <w:p w:rsidR="00F64D82" w:rsidRPr="00F02426" w:rsidRDefault="00F64D82" w:rsidP="00E85004">
      <w:pPr>
        <w:spacing w:after="0" w:line="240" w:lineRule="auto"/>
        <w:jc w:val="both"/>
        <w:rPr>
          <w:rFonts w:ascii="Times New Roman" w:eastAsia="Times New Roman" w:hAnsi="Times New Roman"/>
          <w:sz w:val="20"/>
          <w:szCs w:val="20"/>
          <w:lang w:eastAsia="pl-PL"/>
        </w:rPr>
      </w:pPr>
      <w:r w:rsidRPr="00F64D82">
        <w:rPr>
          <w:rFonts w:ascii="Times New Roman" w:eastAsia="Times New Roman" w:hAnsi="Times New Roman"/>
          <w:sz w:val="20"/>
          <w:szCs w:val="20"/>
          <w:lang w:eastAsia="pl-PL"/>
        </w:rPr>
        <w:t>Koszty zawarcia aktu notarialnego oraz wpisu własności do księgi wieczystej ponosi kupujący.</w:t>
      </w:r>
    </w:p>
    <w:p w:rsidR="00E85004" w:rsidRPr="00F64D82" w:rsidRDefault="00E85004" w:rsidP="00E85004">
      <w:pPr>
        <w:spacing w:after="0" w:line="240" w:lineRule="auto"/>
        <w:jc w:val="both"/>
        <w:rPr>
          <w:rFonts w:ascii="Times New Roman" w:eastAsia="Times New Roman" w:hAnsi="Times New Roman"/>
          <w:sz w:val="20"/>
          <w:szCs w:val="20"/>
          <w:lang w:eastAsia="pl-PL"/>
        </w:rPr>
      </w:pPr>
      <w:r w:rsidRPr="00F64D82">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E85004" w:rsidRPr="00F64D82" w:rsidRDefault="00E85004" w:rsidP="00E85004">
      <w:pPr>
        <w:spacing w:after="0" w:line="240" w:lineRule="auto"/>
        <w:jc w:val="both"/>
        <w:rPr>
          <w:rFonts w:ascii="Times New Roman" w:eastAsia="Times New Roman" w:hAnsi="Times New Roman"/>
          <w:sz w:val="20"/>
          <w:szCs w:val="20"/>
          <w:lang w:eastAsia="pl-PL"/>
        </w:rPr>
      </w:pPr>
      <w:r w:rsidRPr="00F64D82">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E85004" w:rsidRPr="00F64D82" w:rsidRDefault="00E85004" w:rsidP="00E85004">
      <w:pPr>
        <w:spacing w:after="0" w:line="240" w:lineRule="auto"/>
        <w:jc w:val="both"/>
        <w:rPr>
          <w:rFonts w:ascii="Times New Roman" w:eastAsia="Times New Roman" w:hAnsi="Times New Roman"/>
          <w:sz w:val="20"/>
          <w:szCs w:val="20"/>
          <w:lang w:eastAsia="pl-PL"/>
        </w:rPr>
      </w:pPr>
      <w:r w:rsidRPr="00F64D82">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E85004" w:rsidRPr="00F64D82" w:rsidRDefault="00E85004" w:rsidP="00E85004">
      <w:pPr>
        <w:spacing w:after="0" w:line="240" w:lineRule="auto"/>
        <w:jc w:val="both"/>
        <w:rPr>
          <w:rFonts w:ascii="Times New Roman" w:eastAsia="Times New Roman" w:hAnsi="Times New Roman"/>
          <w:b/>
          <w:sz w:val="20"/>
          <w:szCs w:val="20"/>
          <w:lang w:eastAsia="pl-PL"/>
        </w:rPr>
      </w:pPr>
      <w:r w:rsidRPr="00F64D82">
        <w:rPr>
          <w:rFonts w:ascii="Times New Roman" w:eastAsia="Times New Roman" w:hAnsi="Times New Roman"/>
          <w:b/>
          <w:sz w:val="20"/>
          <w:szCs w:val="20"/>
          <w:lang w:eastAsia="pl-PL"/>
        </w:rPr>
        <w:t>Zastrzega się prawo unieważnienia przetargu bez podania przyczyny.</w:t>
      </w:r>
    </w:p>
    <w:p w:rsidR="00E85004" w:rsidRPr="00F64D82" w:rsidRDefault="00E85004" w:rsidP="00E85004">
      <w:pPr>
        <w:spacing w:after="0" w:line="240" w:lineRule="auto"/>
        <w:jc w:val="both"/>
        <w:rPr>
          <w:rFonts w:ascii="Times New Roman" w:eastAsia="Times New Roman" w:hAnsi="Times New Roman"/>
          <w:sz w:val="24"/>
          <w:szCs w:val="20"/>
          <w:lang w:eastAsia="pl-PL"/>
        </w:rPr>
      </w:pPr>
      <w:r w:rsidRPr="00F64D82">
        <w:rPr>
          <w:rFonts w:ascii="Times New Roman" w:eastAsia="Times New Roman" w:hAnsi="Times New Roman"/>
          <w:sz w:val="20"/>
          <w:szCs w:val="20"/>
          <w:lang w:eastAsia="pl-PL"/>
        </w:rPr>
        <w:t xml:space="preserve">Szczegółowe informacje o sprzedaży nieruchomości można uzyskać w </w:t>
      </w:r>
      <w:r w:rsidRPr="00F64D82">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F64D82">
        <w:rPr>
          <w:rFonts w:ascii="Times New Roman" w:eastAsia="Times New Roman" w:hAnsi="Times New Roman"/>
          <w:sz w:val="20"/>
          <w:szCs w:val="20"/>
          <w:lang w:eastAsia="pl-PL"/>
        </w:rPr>
        <w:t>oraz</w:t>
      </w:r>
      <w:r w:rsidRPr="00F64D82">
        <w:rPr>
          <w:rFonts w:ascii="Times New Roman" w:eastAsia="Times New Roman" w:hAnsi="Times New Roman"/>
          <w:b/>
          <w:sz w:val="20"/>
          <w:szCs w:val="20"/>
          <w:lang w:eastAsia="pl-PL"/>
        </w:rPr>
        <w:t xml:space="preserve"> www.bip.gminachelmza.pl </w:t>
      </w:r>
      <w:r w:rsidRPr="00F64D82">
        <w:rPr>
          <w:rFonts w:ascii="Times New Roman" w:eastAsia="Times New Roman" w:hAnsi="Times New Roman"/>
          <w:sz w:val="20"/>
          <w:szCs w:val="20"/>
          <w:lang w:eastAsia="pl-PL"/>
        </w:rPr>
        <w:t>zakładka „oferty inwestycyjne/nieruchomości”.</w:t>
      </w:r>
    </w:p>
    <w:p w:rsidR="00E85004" w:rsidRPr="00D24436" w:rsidRDefault="00E85004" w:rsidP="00E85004">
      <w:pPr>
        <w:spacing w:after="0" w:line="240" w:lineRule="auto"/>
        <w:jc w:val="both"/>
        <w:rPr>
          <w:rFonts w:ascii="Times New Roman" w:eastAsia="Times New Roman" w:hAnsi="Times New Roman"/>
          <w:b/>
          <w:color w:val="4472C4" w:themeColor="accent5"/>
          <w:sz w:val="20"/>
          <w:szCs w:val="20"/>
          <w:lang w:eastAsia="pl-PL"/>
        </w:rPr>
      </w:pPr>
    </w:p>
    <w:p w:rsidR="00E85004" w:rsidRPr="00F64D82" w:rsidRDefault="00E85004" w:rsidP="00E85004">
      <w:pPr>
        <w:spacing w:after="0" w:line="240" w:lineRule="auto"/>
        <w:jc w:val="both"/>
        <w:rPr>
          <w:rFonts w:ascii="Times New Roman" w:eastAsia="Times New Roman" w:hAnsi="Times New Roman"/>
          <w:sz w:val="20"/>
          <w:szCs w:val="20"/>
          <w:lang w:eastAsia="pl-PL"/>
        </w:rPr>
      </w:pPr>
      <w:r w:rsidRPr="00F64D82">
        <w:rPr>
          <w:rFonts w:ascii="Times New Roman" w:eastAsia="Times New Roman" w:hAnsi="Times New Roman"/>
          <w:sz w:val="20"/>
          <w:szCs w:val="20"/>
          <w:lang w:eastAsia="pl-PL"/>
        </w:rPr>
        <w:t xml:space="preserve">Chełmża, </w:t>
      </w:r>
      <w:r w:rsidR="00962057">
        <w:rPr>
          <w:rFonts w:ascii="Times New Roman" w:eastAsia="Times New Roman" w:hAnsi="Times New Roman"/>
          <w:sz w:val="20"/>
          <w:szCs w:val="20"/>
          <w:lang w:eastAsia="pl-PL"/>
        </w:rPr>
        <w:t>12.</w:t>
      </w:r>
      <w:r w:rsidR="00F64D82" w:rsidRPr="00F64D82">
        <w:rPr>
          <w:rFonts w:ascii="Times New Roman" w:eastAsia="Times New Roman" w:hAnsi="Times New Roman"/>
          <w:sz w:val="20"/>
          <w:szCs w:val="20"/>
          <w:lang w:eastAsia="pl-PL"/>
        </w:rPr>
        <w:t>07.2018</w:t>
      </w:r>
      <w:r w:rsidRPr="00F64D82">
        <w:rPr>
          <w:rFonts w:ascii="Times New Roman" w:eastAsia="Times New Roman" w:hAnsi="Times New Roman"/>
          <w:sz w:val="20"/>
          <w:szCs w:val="20"/>
          <w:lang w:eastAsia="pl-PL"/>
        </w:rPr>
        <w:t xml:space="preserve"> r.</w:t>
      </w:r>
    </w:p>
    <w:p w:rsidR="00E85004" w:rsidRPr="00D24436" w:rsidRDefault="00E85004" w:rsidP="00E85004">
      <w:pPr>
        <w:spacing w:after="0" w:line="240" w:lineRule="auto"/>
        <w:jc w:val="both"/>
        <w:rPr>
          <w:rFonts w:ascii="Times New Roman" w:eastAsia="Times New Roman" w:hAnsi="Times New Roman"/>
          <w:color w:val="4472C4" w:themeColor="accent5"/>
          <w:sz w:val="20"/>
          <w:szCs w:val="20"/>
          <w:lang w:eastAsia="pl-PL"/>
        </w:rPr>
      </w:pPr>
    </w:p>
    <w:p w:rsidR="00E85004" w:rsidRPr="00D24436" w:rsidRDefault="00E85004" w:rsidP="00E85004">
      <w:pPr>
        <w:spacing w:after="0" w:line="240" w:lineRule="auto"/>
        <w:jc w:val="both"/>
        <w:rPr>
          <w:rFonts w:ascii="Times New Roman" w:eastAsia="Times New Roman" w:hAnsi="Times New Roman"/>
          <w:b/>
          <w:color w:val="4472C4" w:themeColor="accent5"/>
          <w:sz w:val="20"/>
          <w:szCs w:val="20"/>
          <w:lang w:eastAsia="pl-PL"/>
        </w:rPr>
      </w:pPr>
    </w:p>
    <w:p w:rsidR="00E85004" w:rsidRPr="00D24436" w:rsidRDefault="00E85004" w:rsidP="00E85004">
      <w:pPr>
        <w:spacing w:after="0" w:line="240" w:lineRule="auto"/>
        <w:rPr>
          <w:rFonts w:ascii="Times New Roman" w:eastAsia="Times New Roman" w:hAnsi="Times New Roman"/>
          <w:color w:val="4472C4" w:themeColor="accent5"/>
          <w:sz w:val="24"/>
          <w:szCs w:val="20"/>
          <w:lang w:eastAsia="pl-PL"/>
        </w:rPr>
      </w:pPr>
    </w:p>
    <w:p w:rsidR="00E85004" w:rsidRPr="00D24436" w:rsidRDefault="00E85004" w:rsidP="00E85004">
      <w:pPr>
        <w:rPr>
          <w:color w:val="4472C4" w:themeColor="accent5"/>
        </w:rPr>
      </w:pPr>
    </w:p>
    <w:p w:rsidR="00E85004" w:rsidRPr="00D24436" w:rsidRDefault="00E85004" w:rsidP="00E85004">
      <w:pPr>
        <w:rPr>
          <w:color w:val="4472C4" w:themeColor="accent5"/>
        </w:rPr>
      </w:pPr>
    </w:p>
    <w:p w:rsidR="00E85004" w:rsidRPr="00D24436" w:rsidRDefault="00E85004" w:rsidP="00E85004">
      <w:pPr>
        <w:rPr>
          <w:color w:val="4472C4" w:themeColor="accent5"/>
        </w:rPr>
      </w:pPr>
    </w:p>
    <w:p w:rsidR="00920CEC" w:rsidRPr="00D24436" w:rsidRDefault="00920CEC">
      <w:pPr>
        <w:rPr>
          <w:color w:val="4472C4" w:themeColor="accent5"/>
        </w:rPr>
      </w:pPr>
    </w:p>
    <w:sectPr w:rsidR="00920CEC" w:rsidRPr="00D24436" w:rsidSect="00913225">
      <w:headerReference w:type="default" r:id="rId6"/>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CB" w:rsidRDefault="00F637CB" w:rsidP="00C43290">
      <w:pPr>
        <w:spacing w:after="0" w:line="240" w:lineRule="auto"/>
      </w:pPr>
      <w:r>
        <w:separator/>
      </w:r>
    </w:p>
  </w:endnote>
  <w:endnote w:type="continuationSeparator" w:id="0">
    <w:p w:rsidR="00F637CB" w:rsidRDefault="00F637CB" w:rsidP="00C4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CB" w:rsidRDefault="00F637CB" w:rsidP="00C43290">
      <w:pPr>
        <w:spacing w:after="0" w:line="240" w:lineRule="auto"/>
      </w:pPr>
      <w:r>
        <w:separator/>
      </w:r>
    </w:p>
  </w:footnote>
  <w:footnote w:type="continuationSeparator" w:id="0">
    <w:p w:rsidR="00F637CB" w:rsidRDefault="00F637CB" w:rsidP="00C4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06118"/>
      <w:docPartObj>
        <w:docPartGallery w:val="Page Numbers (Top of Page)"/>
        <w:docPartUnique/>
      </w:docPartObj>
    </w:sdtPr>
    <w:sdtEndPr/>
    <w:sdtContent>
      <w:p w:rsidR="00C43290" w:rsidRDefault="00C43290">
        <w:pPr>
          <w:pStyle w:val="Nagwek"/>
          <w:jc w:val="center"/>
        </w:pPr>
        <w:r>
          <w:fldChar w:fldCharType="begin"/>
        </w:r>
        <w:r>
          <w:instrText>PAGE   \* MERGEFORMAT</w:instrText>
        </w:r>
        <w:r>
          <w:fldChar w:fldCharType="separate"/>
        </w:r>
        <w:r w:rsidR="001E5BF5">
          <w:rPr>
            <w:noProof/>
          </w:rPr>
          <w:t>2</w:t>
        </w:r>
        <w:r>
          <w:fldChar w:fldCharType="end"/>
        </w:r>
      </w:p>
    </w:sdtContent>
  </w:sdt>
  <w:p w:rsidR="00C43290" w:rsidRDefault="00C432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04"/>
    <w:rsid w:val="00094C26"/>
    <w:rsid w:val="001D72B7"/>
    <w:rsid w:val="001E5BF5"/>
    <w:rsid w:val="002A1425"/>
    <w:rsid w:val="00362B55"/>
    <w:rsid w:val="00516C5B"/>
    <w:rsid w:val="0053243E"/>
    <w:rsid w:val="005A7E52"/>
    <w:rsid w:val="00664A11"/>
    <w:rsid w:val="007A25CB"/>
    <w:rsid w:val="007D721F"/>
    <w:rsid w:val="00874FE2"/>
    <w:rsid w:val="00913225"/>
    <w:rsid w:val="00920CEC"/>
    <w:rsid w:val="00962057"/>
    <w:rsid w:val="00AD5133"/>
    <w:rsid w:val="00C43290"/>
    <w:rsid w:val="00D24436"/>
    <w:rsid w:val="00DD4A47"/>
    <w:rsid w:val="00E85004"/>
    <w:rsid w:val="00EA1955"/>
    <w:rsid w:val="00F02426"/>
    <w:rsid w:val="00F637CB"/>
    <w:rsid w:val="00F64D82"/>
    <w:rsid w:val="00FA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CE24-210D-4C39-9B73-E8BD0152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004"/>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3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290"/>
    <w:rPr>
      <w:rFonts w:ascii="Calibri" w:eastAsia="Calibri" w:hAnsi="Calibri" w:cs="Times New Roman"/>
    </w:rPr>
  </w:style>
  <w:style w:type="paragraph" w:styleId="Stopka">
    <w:name w:val="footer"/>
    <w:basedOn w:val="Normalny"/>
    <w:link w:val="StopkaZnak"/>
    <w:uiPriority w:val="99"/>
    <w:unhideWhenUsed/>
    <w:rsid w:val="00C43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290"/>
    <w:rPr>
      <w:rFonts w:ascii="Calibri" w:eastAsia="Calibri" w:hAnsi="Calibri" w:cs="Times New Roman"/>
    </w:rPr>
  </w:style>
  <w:style w:type="paragraph" w:styleId="Tekstdymka">
    <w:name w:val="Balloon Text"/>
    <w:basedOn w:val="Normalny"/>
    <w:link w:val="TekstdymkaZnak"/>
    <w:uiPriority w:val="99"/>
    <w:semiHidden/>
    <w:unhideWhenUsed/>
    <w:rsid w:val="009132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2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858</Words>
  <Characters>5152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cp:lastPrinted>2018-07-12T06:10:00Z</cp:lastPrinted>
  <dcterms:created xsi:type="dcterms:W3CDTF">2018-07-12T05:30:00Z</dcterms:created>
  <dcterms:modified xsi:type="dcterms:W3CDTF">2018-07-12T06:12:00Z</dcterms:modified>
</cp:coreProperties>
</file>