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C9" w:rsidRPr="00B86AE6" w:rsidRDefault="001323B0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120.</w:t>
      </w:r>
      <w:r w:rsidR="00A76D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7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76D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11C9"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 w:rsidR="00B61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="00A76D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B611C9" w:rsidRPr="00B86AE6" w:rsidRDefault="00B611C9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B611C9" w:rsidRPr="00B86AE6" w:rsidRDefault="00B611C9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11C9" w:rsidRPr="00B86AE6" w:rsidRDefault="001323B0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F7E99">
        <w:rPr>
          <w:rFonts w:ascii="Times New Roman" w:eastAsia="Times New Roman" w:hAnsi="Times New Roman" w:cs="Times New Roman"/>
          <w:sz w:val="24"/>
          <w:szCs w:val="24"/>
          <w:lang w:eastAsia="pl-PL"/>
        </w:rPr>
        <w:t>8 lutego</w:t>
      </w:r>
      <w:r w:rsidR="00B61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A76DD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611C9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611C9" w:rsidRPr="00B86AE6" w:rsidRDefault="00B611C9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1C9" w:rsidRPr="00B86AE6" w:rsidRDefault="00B611C9" w:rsidP="00B6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Chełmża.</w:t>
      </w: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 w:rsidR="000C6780" w:rsidRPr="000C6780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Dz. U. z 2018 r. poz. 994</w:t>
      </w:r>
      <w:r w:rsidR="000C6780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  <w:r w:rsidR="000C6780" w:rsidRPr="000C6780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poz. 1000, poz. 1349, poz. 1432 i poz. 2500</w:t>
      </w:r>
      <w:r w:rsidR="000C6780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) 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B86AE6">
        <w:rPr>
          <w:rFonts w:ascii="Times New Roman" w:eastAsia="Calibri" w:hAnsi="Times New Roman" w:cs="Times New Roman"/>
          <w:sz w:val="24"/>
          <w:szCs w:val="24"/>
        </w:rPr>
        <w:t>ą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B86AE6">
        <w:rPr>
          <w:rFonts w:ascii="Times New Roman" w:eastAsia="Calibri" w:hAnsi="Times New Roman" w:cs="Times New Roman"/>
          <w:sz w:val="24"/>
          <w:szCs w:val="24"/>
        </w:rPr>
        <w:t>ę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B611C9" w:rsidRPr="00B86AE6" w:rsidRDefault="00B611C9" w:rsidP="00B611C9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15170" w:rsidRDefault="00B611C9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</w:t>
      </w:r>
      <w:r w:rsidR="001A7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AFC">
        <w:rPr>
          <w:rFonts w:ascii="Times New Roman" w:eastAsia="Calibri" w:hAnsi="Times New Roman" w:cs="Times New Roman"/>
          <w:sz w:val="24"/>
          <w:szCs w:val="24"/>
        </w:rPr>
        <w:t>Regulaminu organizacyjnego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056AFC">
        <w:rPr>
          <w:rFonts w:ascii="Times New Roman" w:eastAsia="Calibri" w:hAnsi="Times New Roman" w:cs="Times New Roman"/>
          <w:sz w:val="24"/>
          <w:szCs w:val="24"/>
        </w:rPr>
        <w:t>rzędu Gminy Chełmża wprowadzon</w:t>
      </w:r>
      <w:r w:rsidR="001A7452">
        <w:rPr>
          <w:rFonts w:ascii="Times New Roman" w:eastAsia="Calibri" w:hAnsi="Times New Roman" w:cs="Times New Roman"/>
          <w:sz w:val="24"/>
          <w:szCs w:val="24"/>
        </w:rPr>
        <w:t>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Zarządzeniem Nr  0152-12/2010 Wójta Gminy Chełmża z dnia 31 grudnia  2010 r. wprowadza się następujące zmiany:  </w:t>
      </w:r>
    </w:p>
    <w:p w:rsidR="00715170" w:rsidRDefault="00715170" w:rsidP="007151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§ 19 pkt. 4 otrzymuje brzmienie:</w:t>
      </w:r>
    </w:p>
    <w:p w:rsidR="00715170" w:rsidRPr="00715170" w:rsidRDefault="00715170" w:rsidP="00715170">
      <w:pPr>
        <w:pStyle w:val="Akapitzlist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„4) </w:t>
      </w:r>
      <w:r w:rsidRPr="00715170">
        <w:rPr>
          <w:rFonts w:ascii="Times New Roman" w:eastAsia="Calibri" w:hAnsi="Times New Roman" w:cs="Times New Roman"/>
          <w:sz w:val="24"/>
          <w:szCs w:val="24"/>
        </w:rPr>
        <w:t>Referat Gospodarki Komunalnej i Ochrony Środowiska:</w:t>
      </w:r>
    </w:p>
    <w:p w:rsidR="00715170" w:rsidRPr="00715170" w:rsidRDefault="00715170" w:rsidP="00715170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170">
        <w:rPr>
          <w:rFonts w:ascii="Times New Roman" w:eastAsia="Calibri" w:hAnsi="Times New Roman" w:cs="Times New Roman"/>
          <w:sz w:val="24"/>
          <w:szCs w:val="24"/>
        </w:rPr>
        <w:t>a) Kierownik Referatu,</w:t>
      </w:r>
    </w:p>
    <w:p w:rsidR="00715170" w:rsidRPr="00715170" w:rsidRDefault="00715170" w:rsidP="00715170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170">
        <w:rPr>
          <w:rFonts w:ascii="Times New Roman" w:eastAsia="Calibri" w:hAnsi="Times New Roman" w:cs="Times New Roman"/>
          <w:sz w:val="24"/>
          <w:szCs w:val="24"/>
        </w:rPr>
        <w:t>b) ds. gospodarowania  zasobami mieszkaniowymi i obiektami gminnymi,</w:t>
      </w:r>
    </w:p>
    <w:p w:rsidR="00715170" w:rsidRPr="00715170" w:rsidRDefault="00715170" w:rsidP="00715170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170">
        <w:rPr>
          <w:rFonts w:ascii="Times New Roman" w:eastAsia="Calibri" w:hAnsi="Times New Roman" w:cs="Times New Roman"/>
          <w:sz w:val="24"/>
          <w:szCs w:val="24"/>
        </w:rPr>
        <w:t>c) ds. ochrony środowiska,</w:t>
      </w:r>
    </w:p>
    <w:p w:rsidR="00715170" w:rsidRDefault="00715170" w:rsidP="00715170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170">
        <w:rPr>
          <w:rFonts w:ascii="Times New Roman" w:eastAsia="Calibri" w:hAnsi="Times New Roman" w:cs="Times New Roman"/>
          <w:sz w:val="24"/>
          <w:szCs w:val="24"/>
        </w:rPr>
        <w:t>d) ds. komunalnych,</w:t>
      </w:r>
    </w:p>
    <w:p w:rsidR="00715170" w:rsidRPr="00715170" w:rsidRDefault="00715170" w:rsidP="00715170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e) ds. zagospodarowania terenów oraz programów środowiskowych,</w:t>
      </w:r>
    </w:p>
    <w:p w:rsidR="00715170" w:rsidRPr="00715170" w:rsidRDefault="00715170" w:rsidP="001A7452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715170">
        <w:rPr>
          <w:rFonts w:ascii="Times New Roman" w:eastAsia="Calibri" w:hAnsi="Times New Roman" w:cs="Times New Roman"/>
          <w:sz w:val="24"/>
          <w:szCs w:val="24"/>
        </w:rPr>
        <w:t>) opiekunki dowozu uczniów.</w:t>
      </w:r>
    </w:p>
    <w:p w:rsidR="00201DAA" w:rsidRDefault="00990D18" w:rsidP="00201D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§ 25:</w:t>
      </w:r>
    </w:p>
    <w:p w:rsidR="00990D18" w:rsidRDefault="00990D18" w:rsidP="00990D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pkt 4, lit. e) otrzymuje brzmienie:</w:t>
      </w:r>
    </w:p>
    <w:p w:rsidR="00990D18" w:rsidRDefault="00990D18" w:rsidP="00990D18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„e) sporządzanie okresowych analiz wykorzystania urlopu wypoczynkowego wg. stanu na dzień 30 września i 31 grudnia każdego roku,”</w:t>
      </w:r>
    </w:p>
    <w:p w:rsidR="00990D18" w:rsidRDefault="00990D18" w:rsidP="00990D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pkt. 4 </w:t>
      </w:r>
      <w:r w:rsidR="00581506">
        <w:rPr>
          <w:rFonts w:ascii="Times New Roman" w:eastAsia="Calibri" w:hAnsi="Times New Roman" w:cs="Times New Roman"/>
          <w:sz w:val="24"/>
          <w:szCs w:val="24"/>
        </w:rPr>
        <w:t>wy</w:t>
      </w:r>
      <w:r>
        <w:rPr>
          <w:rFonts w:ascii="Times New Roman" w:eastAsia="Calibri" w:hAnsi="Times New Roman" w:cs="Times New Roman"/>
          <w:sz w:val="24"/>
          <w:szCs w:val="24"/>
        </w:rPr>
        <w:t>kreśla się lit. l),</w:t>
      </w:r>
    </w:p>
    <w:p w:rsidR="00990D18" w:rsidRDefault="00990D18" w:rsidP="00990D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pkt. 6 </w:t>
      </w:r>
      <w:r w:rsidR="000C6780">
        <w:rPr>
          <w:rFonts w:ascii="Times New Roman" w:eastAsia="Calibri" w:hAnsi="Times New Roman" w:cs="Times New Roman"/>
          <w:sz w:val="24"/>
          <w:szCs w:val="24"/>
        </w:rPr>
        <w:t>wy</w:t>
      </w:r>
      <w:r w:rsidR="00581506">
        <w:rPr>
          <w:rFonts w:ascii="Times New Roman" w:eastAsia="Calibri" w:hAnsi="Times New Roman" w:cs="Times New Roman"/>
          <w:sz w:val="24"/>
          <w:szCs w:val="24"/>
        </w:rPr>
        <w:t>kreśla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lit. g),</w:t>
      </w:r>
    </w:p>
    <w:p w:rsidR="00990D18" w:rsidRDefault="00990D18" w:rsidP="00990D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pkt. 21 </w:t>
      </w:r>
      <w:r w:rsidR="00581506">
        <w:rPr>
          <w:rFonts w:ascii="Times New Roman" w:eastAsia="Calibri" w:hAnsi="Times New Roman" w:cs="Times New Roman"/>
          <w:sz w:val="24"/>
          <w:szCs w:val="24"/>
        </w:rPr>
        <w:t>wykreśla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lit. a),</w:t>
      </w:r>
    </w:p>
    <w:p w:rsidR="00990D18" w:rsidRDefault="00581506" w:rsidP="00990D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pkt 27 lit f) otrzymuje brzmienie:</w:t>
      </w:r>
    </w:p>
    <w:p w:rsidR="00581506" w:rsidRDefault="00581506" w:rsidP="00581506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 f) dokonywanie oceny ryzyka zawodowego oraz określanie środków ochrony indywidualnej na stanowiskach pracy, na których występują czynniki niebezpieczne </w:t>
      </w:r>
      <w:r w:rsidR="00733F2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szkodliwe dla zdrowia,”,</w:t>
      </w:r>
    </w:p>
    <w:p w:rsidR="00581506" w:rsidRDefault="00581506" w:rsidP="005815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pkt. 27 li. h) otrzymuje brzmienie:</w:t>
      </w:r>
    </w:p>
    <w:p w:rsidR="00581506" w:rsidRPr="00201DAA" w:rsidRDefault="00581506" w:rsidP="00581506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„h) ustalanie przydziałów środków ochrony indywidualnej w tym w szczególności odzieży i obuwia roboczego dla pracowników,”,</w:t>
      </w:r>
    </w:p>
    <w:p w:rsidR="00201DAA" w:rsidRDefault="00733F27" w:rsidP="00733F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pkt 29 otrzymuje brzmienie:</w:t>
      </w:r>
    </w:p>
    <w:p w:rsidR="00733F27" w:rsidRDefault="00733F27" w:rsidP="00733F27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 29) działalność gospodarcza oraz usługi hotelarskie: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wydawanie zaświadczeń dla przedsiębiorców, którzy zakończyli wykonywanie działalności gospodarczej przed 1 lipca 2011 r.;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 xml:space="preserve">pomoc przedsiębiorcom w zakresie obsługi elektronicznej platformy CEIDG, </w:t>
      </w:r>
      <w:r w:rsidRPr="00733F27">
        <w:rPr>
          <w:rFonts w:ascii="Times New Roman" w:hAnsi="Times New Roman" w:cs="Times New Roman"/>
          <w:sz w:val="24"/>
          <w:szCs w:val="24"/>
        </w:rPr>
        <w:br/>
        <w:t>a w szczególności: przyjmowanie wniosków o wpis do CEIDG (uruchomienie, zawieszenie, wznowienie, wykreślenie, zmiana, korekty, uzupełnienia), badanie kompletności i poprawności wniosków oraz wydawanie potwierdzeń przyjęcia wniosku;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przekazywanie do CEIDG danych o przedsiębiorcach wykonujących działalność gospodarczą wiążącą się z uzyskaniem koncesji, licencji lub zezwolenia;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współpraca z przedsiębiorcami z terenu gminy w tym: przygotowywanie projektów planów   współpracy i promocji przedsiębiorczości;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lastRenderedPageBreak/>
        <w:t>organizowanie i koordynowanie  projektów wspierających rozwój przedsiębiorczości oraz współpraca z podmiotami zewnętrznymi w tym zakresie;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 xml:space="preserve">prowadzenie działalności informacyjnej skierowanej do przedsiębiorców oraz osób planujących rozpoczęcie działalności gospodarczej w zakresie możliwości pozyskania dofinansowania lub pomocy niefinansowej; 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prowadzenie ewidencji innych obiektów, w których świadczone są usługi hotelarskie;</w:t>
      </w:r>
    </w:p>
    <w:p w:rsidR="00733F27" w:rsidRP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prowadzenie ewidencji i ustalenie zaszeregowania pól biwakowych;</w:t>
      </w:r>
    </w:p>
    <w:p w:rsidR="00733F27" w:rsidRDefault="00733F27" w:rsidP="00733F27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prowadzenie postepowań związanych ze świadczeniem usług hotelarskich oraz kontrola obiektów świadczących usługi hotelarskie.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3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F27" w:rsidRDefault="00733F27" w:rsidP="00733F27">
      <w:pPr>
        <w:pStyle w:val="Akapitzlist"/>
        <w:numPr>
          <w:ilvl w:val="0"/>
          <w:numId w:val="18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pkt. 29a w brzmieniu:</w:t>
      </w:r>
    </w:p>
    <w:p w:rsidR="00733F27" w:rsidRDefault="00733F27" w:rsidP="00733F27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E4661">
        <w:rPr>
          <w:rFonts w:ascii="Times New Roman" w:hAnsi="Times New Roman" w:cs="Times New Roman"/>
          <w:sz w:val="24"/>
          <w:szCs w:val="24"/>
        </w:rPr>
        <w:t>29a) zadania wynikające z ustawy o wychowaniu w trzeźwości i przeciwdziałaniu alkoholizmowi, przemocy i narkomanii:</w:t>
      </w:r>
    </w:p>
    <w:p w:rsidR="00733F27" w:rsidRPr="00733F27" w:rsidRDefault="00733F27" w:rsidP="009E4661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wydawanie zezwoleń na spożycie napojów alkoholowych do spożycia w miejscu i poza   miejscem sprzedaży;</w:t>
      </w:r>
    </w:p>
    <w:p w:rsidR="00733F27" w:rsidRPr="00733F27" w:rsidRDefault="00733F27" w:rsidP="009E4661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 xml:space="preserve">kontrola przestrzegania zasad określonych w zezwoleniu na sprzedaż napojów </w:t>
      </w:r>
    </w:p>
    <w:p w:rsidR="00733F27" w:rsidRPr="00733F27" w:rsidRDefault="009E4661" w:rsidP="009E4661">
      <w:pPr>
        <w:pStyle w:val="Akapitzlis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3F27" w:rsidRPr="00733F27">
        <w:rPr>
          <w:rFonts w:ascii="Times New Roman" w:hAnsi="Times New Roman" w:cs="Times New Roman"/>
          <w:sz w:val="24"/>
          <w:szCs w:val="24"/>
        </w:rPr>
        <w:t>alkoholowych;</w:t>
      </w:r>
    </w:p>
    <w:p w:rsidR="00733F27" w:rsidRPr="00733F27" w:rsidRDefault="00733F27" w:rsidP="009E4661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>ustalanie opłat za korzystanie z zezwolenia na sprzedaż napojów alkoholowych oraz kontrola ich realizacji;</w:t>
      </w:r>
    </w:p>
    <w:p w:rsidR="00733F27" w:rsidRPr="00733F27" w:rsidRDefault="00733F27" w:rsidP="009E4661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F27">
        <w:rPr>
          <w:rFonts w:ascii="Times New Roman" w:hAnsi="Times New Roman" w:cs="Times New Roman"/>
          <w:sz w:val="24"/>
          <w:szCs w:val="24"/>
        </w:rPr>
        <w:t xml:space="preserve">przygotowywanie </w:t>
      </w:r>
      <w:r w:rsidR="00D747A9">
        <w:rPr>
          <w:rFonts w:ascii="Times New Roman" w:hAnsi="Times New Roman" w:cs="Times New Roman"/>
          <w:sz w:val="24"/>
          <w:szCs w:val="24"/>
        </w:rPr>
        <w:t xml:space="preserve">i wdrażanie </w:t>
      </w:r>
      <w:r w:rsidRPr="00733F27">
        <w:rPr>
          <w:rFonts w:ascii="Times New Roman" w:hAnsi="Times New Roman" w:cs="Times New Roman"/>
          <w:sz w:val="24"/>
          <w:szCs w:val="24"/>
        </w:rPr>
        <w:t xml:space="preserve">projektów uchwał związanych z realizacją w/w ustawy </w:t>
      </w:r>
      <w:bookmarkStart w:id="0" w:name="_GoBack"/>
      <w:bookmarkEnd w:id="0"/>
      <w:r w:rsidRPr="00733F27">
        <w:rPr>
          <w:rFonts w:ascii="Times New Roman" w:hAnsi="Times New Roman" w:cs="Times New Roman"/>
          <w:sz w:val="24"/>
          <w:szCs w:val="24"/>
        </w:rPr>
        <w:t>w szczególności dotyczących;</w:t>
      </w:r>
    </w:p>
    <w:p w:rsidR="00733F27" w:rsidRPr="00733F27" w:rsidRDefault="009663DC" w:rsidP="009663DC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3F27" w:rsidRPr="00733F27">
        <w:rPr>
          <w:rFonts w:ascii="Times New Roman" w:hAnsi="Times New Roman" w:cs="Times New Roman"/>
          <w:sz w:val="24"/>
          <w:szCs w:val="24"/>
        </w:rPr>
        <w:t xml:space="preserve"> określeniem maksymalnej ilości zezwoleń na  sprzedaż napojów alkoholowych oraz zasad  usytuowania miejsc sprzedaży i spożywania alkoholu;</w:t>
      </w:r>
    </w:p>
    <w:p w:rsidR="00733F27" w:rsidRDefault="009663DC" w:rsidP="009663DC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3F27" w:rsidRPr="00733F27">
        <w:rPr>
          <w:rFonts w:ascii="Times New Roman" w:hAnsi="Times New Roman" w:cs="Times New Roman"/>
          <w:sz w:val="24"/>
          <w:szCs w:val="24"/>
        </w:rPr>
        <w:t xml:space="preserve"> wprowadzenia odstępstw od zakazu sprzedaży i spożywania napojów alkoholowych w miejscach publicznych.</w:t>
      </w:r>
    </w:p>
    <w:p w:rsidR="009663DC" w:rsidRDefault="009663DC" w:rsidP="009663D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  <w:t>w pkt. 30 lit. h) otrzymuje brzmienie:</w:t>
      </w:r>
    </w:p>
    <w:p w:rsidR="009663DC" w:rsidRDefault="009663DC" w:rsidP="009663DC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h) prowadzenie postepowań i obsługa zadania związanego z przyznawaniem dodatków mieszkaniowych i energetycznych”.</w:t>
      </w:r>
    </w:p>
    <w:p w:rsidR="001A7452" w:rsidRDefault="001A7452" w:rsidP="001A74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3DC" w:rsidRDefault="001A7452" w:rsidP="001A74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Schemat struktury organizacyjnej Urzędu Gminy Chełmża otrzymuje brzmienie jak w załączniku do zarządzenia.</w:t>
      </w:r>
    </w:p>
    <w:p w:rsidR="00201DAA" w:rsidRDefault="00201DAA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1C9" w:rsidRPr="00B86AE6" w:rsidRDefault="00B611C9" w:rsidP="00B611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1C9" w:rsidRPr="0014113A" w:rsidRDefault="00B611C9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 w:rsidR="00056AFC">
        <w:rPr>
          <w:rFonts w:ascii="Times New Roman" w:eastAsia="Calibri" w:hAnsi="Times New Roman" w:cs="Times New Roman"/>
          <w:sz w:val="24"/>
          <w:szCs w:val="24"/>
        </w:rPr>
        <w:t>ychodzi w życie z dniem wydania</w:t>
      </w:r>
      <w:r w:rsidRPr="00B86A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2AA" w:rsidRDefault="002F32AA"/>
    <w:sectPr w:rsidR="002F32AA" w:rsidSect="00CD366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A31"/>
    <w:multiLevelType w:val="hybridMultilevel"/>
    <w:tmpl w:val="81A8703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7B2"/>
    <w:multiLevelType w:val="hybridMultilevel"/>
    <w:tmpl w:val="EC08A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0D6"/>
    <w:multiLevelType w:val="hybridMultilevel"/>
    <w:tmpl w:val="CEB8180C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05C"/>
    <w:multiLevelType w:val="hybridMultilevel"/>
    <w:tmpl w:val="20085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210"/>
    <w:multiLevelType w:val="hybridMultilevel"/>
    <w:tmpl w:val="D2BA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37F5"/>
    <w:multiLevelType w:val="hybridMultilevel"/>
    <w:tmpl w:val="C1346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111B"/>
    <w:multiLevelType w:val="hybridMultilevel"/>
    <w:tmpl w:val="06E622E8"/>
    <w:lvl w:ilvl="0" w:tplc="67E05BA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127E4"/>
    <w:multiLevelType w:val="hybridMultilevel"/>
    <w:tmpl w:val="AD4839C6"/>
    <w:lvl w:ilvl="0" w:tplc="118A32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0A8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E6DCA"/>
    <w:multiLevelType w:val="hybridMultilevel"/>
    <w:tmpl w:val="78968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1FE3"/>
    <w:multiLevelType w:val="hybridMultilevel"/>
    <w:tmpl w:val="EC669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17C"/>
    <w:multiLevelType w:val="hybridMultilevel"/>
    <w:tmpl w:val="B3FEC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A5DC2"/>
    <w:multiLevelType w:val="hybridMultilevel"/>
    <w:tmpl w:val="3B047E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B5A5228"/>
    <w:multiLevelType w:val="hybridMultilevel"/>
    <w:tmpl w:val="23F4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30008"/>
    <w:multiLevelType w:val="hybridMultilevel"/>
    <w:tmpl w:val="7834D11A"/>
    <w:lvl w:ilvl="0" w:tplc="6EBEDC02">
      <w:start w:val="12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8EC6A41"/>
    <w:multiLevelType w:val="hybridMultilevel"/>
    <w:tmpl w:val="C3EE0E20"/>
    <w:lvl w:ilvl="0" w:tplc="0415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5EB8"/>
    <w:multiLevelType w:val="hybridMultilevel"/>
    <w:tmpl w:val="73BA4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940D4"/>
    <w:multiLevelType w:val="hybridMultilevel"/>
    <w:tmpl w:val="A71A21AA"/>
    <w:lvl w:ilvl="0" w:tplc="28D6E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BE6CFD"/>
    <w:multiLevelType w:val="hybridMultilevel"/>
    <w:tmpl w:val="E3829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560D3"/>
    <w:multiLevelType w:val="hybridMultilevel"/>
    <w:tmpl w:val="952E7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D1992"/>
    <w:multiLevelType w:val="hybridMultilevel"/>
    <w:tmpl w:val="726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913CD"/>
    <w:multiLevelType w:val="hybridMultilevel"/>
    <w:tmpl w:val="F2ECD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2"/>
  </w:num>
  <w:num w:numId="5">
    <w:abstractNumId w:val="14"/>
  </w:num>
  <w:num w:numId="6">
    <w:abstractNumId w:val="19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15"/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  <w:num w:numId="20">
    <w:abstractNumId w:val="1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C9"/>
    <w:rsid w:val="00056AFC"/>
    <w:rsid w:val="000C6780"/>
    <w:rsid w:val="000F1744"/>
    <w:rsid w:val="001323B0"/>
    <w:rsid w:val="001A7452"/>
    <w:rsid w:val="00201DAA"/>
    <w:rsid w:val="002061A2"/>
    <w:rsid w:val="002F32AA"/>
    <w:rsid w:val="003F7E99"/>
    <w:rsid w:val="00581506"/>
    <w:rsid w:val="006031DD"/>
    <w:rsid w:val="00715170"/>
    <w:rsid w:val="00733F27"/>
    <w:rsid w:val="007D5947"/>
    <w:rsid w:val="008F3F6B"/>
    <w:rsid w:val="009663DC"/>
    <w:rsid w:val="00970AE0"/>
    <w:rsid w:val="00990D18"/>
    <w:rsid w:val="009E4661"/>
    <w:rsid w:val="00A76DD3"/>
    <w:rsid w:val="00B611C9"/>
    <w:rsid w:val="00BB38E3"/>
    <w:rsid w:val="00D747A9"/>
    <w:rsid w:val="00DB04F6"/>
    <w:rsid w:val="00ED7F5D"/>
    <w:rsid w:val="00F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1221"/>
  <w15:chartTrackingRefBased/>
  <w15:docId w15:val="{ABB31983-4CD2-4184-A18B-BF267A5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1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cp:lastPrinted>2019-03-04T12:44:00Z</cp:lastPrinted>
  <dcterms:created xsi:type="dcterms:W3CDTF">2019-09-03T08:54:00Z</dcterms:created>
  <dcterms:modified xsi:type="dcterms:W3CDTF">2019-09-03T09:38:00Z</dcterms:modified>
</cp:coreProperties>
</file>