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32" w:rsidRDefault="00515032" w:rsidP="00DA1957">
      <w:pPr>
        <w:jc w:val="both"/>
        <w:rPr>
          <w:rFonts w:ascii="Times New Roman" w:hAnsi="Times New Roman" w:cs="Times New Roman"/>
          <w:sz w:val="24"/>
          <w:szCs w:val="24"/>
        </w:rPr>
      </w:pPr>
    </w:p>
    <w:p w:rsidR="00515032" w:rsidRPr="000F2EC3" w:rsidRDefault="00515032" w:rsidP="009C7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sz w:val="24"/>
          <w:szCs w:val="24"/>
        </w:rPr>
      </w:pPr>
      <w:r w:rsidRPr="000F2EC3">
        <w:rPr>
          <w:rFonts w:ascii="Times New Roman" w:hAnsi="Times New Roman" w:cs="Times New Roman"/>
          <w:sz w:val="24"/>
          <w:szCs w:val="24"/>
        </w:rPr>
        <w:t xml:space="preserve">                                                                             </w:t>
      </w:r>
      <w:r w:rsidR="009C74FA">
        <w:rPr>
          <w:rFonts w:ascii="Times New Roman" w:hAnsi="Times New Roman" w:cs="Times New Roman"/>
          <w:sz w:val="24"/>
          <w:szCs w:val="24"/>
        </w:rPr>
        <w:t xml:space="preserve">                               </w:t>
      </w:r>
      <w:r w:rsidRPr="000F2EC3">
        <w:rPr>
          <w:rFonts w:ascii="Times New Roman" w:hAnsi="Times New Roman" w:cs="Times New Roman"/>
          <w:sz w:val="24"/>
          <w:szCs w:val="24"/>
        </w:rPr>
        <w:t>Załącznik Nr 3</w:t>
      </w:r>
    </w:p>
    <w:p w:rsidR="00515032" w:rsidRPr="000F2EC3" w:rsidRDefault="00515032" w:rsidP="009C7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sz w:val="24"/>
          <w:szCs w:val="24"/>
        </w:rPr>
      </w:pPr>
      <w:r w:rsidRPr="000F2EC3">
        <w:rPr>
          <w:rFonts w:ascii="Times New Roman" w:hAnsi="Times New Roman" w:cs="Times New Roman"/>
          <w:sz w:val="24"/>
          <w:szCs w:val="24"/>
        </w:rPr>
        <w:t xml:space="preserve">                                                                                                 do Uchwały Nr   /20</w:t>
      </w:r>
    </w:p>
    <w:p w:rsidR="00515032" w:rsidRPr="000F2EC3" w:rsidRDefault="00515032" w:rsidP="009C7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sz w:val="24"/>
          <w:szCs w:val="24"/>
        </w:rPr>
      </w:pPr>
      <w:r w:rsidRPr="000F2EC3">
        <w:rPr>
          <w:rFonts w:ascii="Times New Roman" w:hAnsi="Times New Roman" w:cs="Times New Roman"/>
          <w:sz w:val="24"/>
          <w:szCs w:val="24"/>
        </w:rPr>
        <w:t xml:space="preserve">                                                                                                    Rady Gminy Chełmża </w:t>
      </w:r>
    </w:p>
    <w:p w:rsidR="00515032" w:rsidRPr="000F2EC3" w:rsidRDefault="00515032" w:rsidP="009C7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sz w:val="24"/>
          <w:szCs w:val="24"/>
        </w:rPr>
      </w:pPr>
      <w:r w:rsidRPr="000F2EC3">
        <w:rPr>
          <w:rFonts w:ascii="Times New Roman" w:hAnsi="Times New Roman" w:cs="Times New Roman"/>
          <w:sz w:val="24"/>
          <w:szCs w:val="24"/>
        </w:rPr>
        <w:t xml:space="preserve">                                                                                      </w:t>
      </w:r>
      <w:r>
        <w:rPr>
          <w:rFonts w:ascii="Times New Roman" w:hAnsi="Times New Roman" w:cs="Times New Roman"/>
          <w:sz w:val="24"/>
          <w:szCs w:val="24"/>
        </w:rPr>
        <w:t xml:space="preserve">                 z dnia 30 czerwca</w:t>
      </w:r>
      <w:r w:rsidRPr="000F2EC3">
        <w:rPr>
          <w:rFonts w:ascii="Times New Roman" w:hAnsi="Times New Roman" w:cs="Times New Roman"/>
          <w:sz w:val="24"/>
          <w:szCs w:val="24"/>
        </w:rPr>
        <w:t xml:space="preserve"> 2020 r.</w:t>
      </w:r>
    </w:p>
    <w:p w:rsidR="00515032" w:rsidRPr="000F2EC3" w:rsidRDefault="00515032" w:rsidP="00515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center"/>
        <w:rPr>
          <w:rFonts w:ascii="Times New Roman" w:hAnsi="Times New Roman" w:cs="Times New Roman"/>
          <w:b/>
          <w:bCs/>
          <w:sz w:val="24"/>
          <w:szCs w:val="24"/>
        </w:rPr>
      </w:pPr>
    </w:p>
    <w:p w:rsidR="00515032" w:rsidRPr="000F2EC3" w:rsidRDefault="00515032" w:rsidP="00515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center"/>
        <w:rPr>
          <w:rFonts w:ascii="Times New Roman" w:hAnsi="Times New Roman" w:cs="Times New Roman"/>
          <w:sz w:val="24"/>
          <w:szCs w:val="24"/>
        </w:rPr>
      </w:pPr>
      <w:r w:rsidRPr="000F2EC3">
        <w:rPr>
          <w:rFonts w:ascii="Times New Roman" w:hAnsi="Times New Roman" w:cs="Times New Roman"/>
          <w:b/>
          <w:bCs/>
          <w:sz w:val="24"/>
          <w:szCs w:val="24"/>
        </w:rPr>
        <w:t>UZASADNIENIE</w:t>
      </w:r>
    </w:p>
    <w:p w:rsidR="00515032" w:rsidRDefault="00515032" w:rsidP="00014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center"/>
        <w:rPr>
          <w:rFonts w:ascii="Times New Roman" w:hAnsi="Times New Roman" w:cs="Times New Roman"/>
          <w:sz w:val="24"/>
          <w:szCs w:val="24"/>
        </w:rPr>
      </w:pPr>
      <w:r w:rsidRPr="000F2EC3">
        <w:rPr>
          <w:rFonts w:ascii="Times New Roman" w:hAnsi="Times New Roman" w:cs="Times New Roman"/>
          <w:b/>
          <w:bCs/>
          <w:sz w:val="24"/>
          <w:szCs w:val="24"/>
        </w:rPr>
        <w:t>Objaśnienia przyjętych wartości do Wieloletniej Prognozy Finansowej Gminy Chełmża na lata 2020-2035.</w:t>
      </w:r>
    </w:p>
    <w:p w:rsidR="00515032" w:rsidRDefault="00515032" w:rsidP="00DA1957">
      <w:pPr>
        <w:jc w:val="both"/>
        <w:rPr>
          <w:rFonts w:ascii="Times New Roman" w:hAnsi="Times New Roman" w:cs="Times New Roman"/>
          <w:sz w:val="24"/>
          <w:szCs w:val="24"/>
        </w:rPr>
      </w:pPr>
    </w:p>
    <w:p w:rsidR="00F96B95" w:rsidRPr="000F2EC3" w:rsidRDefault="00DA1957" w:rsidP="005B5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sz w:val="24"/>
          <w:szCs w:val="24"/>
        </w:rPr>
      </w:pPr>
      <w:r w:rsidRPr="000F2EC3">
        <w:rPr>
          <w:rFonts w:ascii="Times New Roman" w:hAnsi="Times New Roman" w:cs="Times New Roman"/>
          <w:sz w:val="24"/>
          <w:szCs w:val="24"/>
        </w:rPr>
        <w:t xml:space="preserve">W przyjętej Wieloletniej Prognozie Finansowej na lata 2020 – 2035 wprowadzono zmiany wydatków budżetu, przychodów i rozchodów. </w:t>
      </w:r>
      <w:r w:rsidR="00F96B95" w:rsidRPr="000F2EC3">
        <w:rPr>
          <w:rFonts w:ascii="Times New Roman" w:hAnsi="Times New Roman" w:cs="Times New Roman"/>
          <w:sz w:val="24"/>
          <w:szCs w:val="24"/>
        </w:rPr>
        <w:t>Zgodnie ze zmianami w budżecie</w:t>
      </w:r>
      <w:r w:rsidR="005B5DDB">
        <w:rPr>
          <w:rFonts w:ascii="Times New Roman" w:hAnsi="Times New Roman" w:cs="Times New Roman"/>
          <w:sz w:val="24"/>
          <w:szCs w:val="24"/>
        </w:rPr>
        <w:t xml:space="preserve"> w 2020 roku   dokonano urealnienia wielkości wynikających z zmian budżetu .</w:t>
      </w:r>
    </w:p>
    <w:p w:rsidR="00DA1957" w:rsidRPr="000F2EC3" w:rsidRDefault="00DA1957" w:rsidP="00DD2534">
      <w:pPr>
        <w:pStyle w:val="Akapitzlist"/>
        <w:numPr>
          <w:ilvl w:val="0"/>
          <w:numId w:val="1"/>
        </w:numPr>
        <w:rPr>
          <w:rFonts w:ascii="Times New Roman" w:hAnsi="Times New Roman" w:cs="Times New Roman"/>
          <w:sz w:val="24"/>
          <w:szCs w:val="24"/>
        </w:rPr>
      </w:pPr>
      <w:r w:rsidRPr="000F2EC3">
        <w:rPr>
          <w:rFonts w:ascii="Times New Roman" w:hAnsi="Times New Roman" w:cs="Times New Roman"/>
          <w:sz w:val="24"/>
          <w:szCs w:val="24"/>
        </w:rPr>
        <w:t>DOCHODY</w:t>
      </w:r>
    </w:p>
    <w:p w:rsidR="00DA1957" w:rsidRPr="000F2EC3" w:rsidRDefault="00F96B95" w:rsidP="00DD2534">
      <w:pPr>
        <w:rPr>
          <w:rFonts w:ascii="Times New Roman" w:hAnsi="Times New Roman" w:cs="Times New Roman"/>
          <w:sz w:val="24"/>
          <w:szCs w:val="24"/>
        </w:rPr>
      </w:pPr>
      <w:r>
        <w:rPr>
          <w:rFonts w:ascii="Times New Roman" w:hAnsi="Times New Roman" w:cs="Times New Roman"/>
          <w:sz w:val="24"/>
          <w:szCs w:val="24"/>
        </w:rPr>
        <w:t xml:space="preserve"> Prognoza dochodów od 2021 roku  nie uległa zmianie względem poprzedniej WPF</w:t>
      </w:r>
    </w:p>
    <w:p w:rsidR="00DA1957" w:rsidRPr="000F2EC3" w:rsidRDefault="00DA1957" w:rsidP="00DD2534">
      <w:pPr>
        <w:pStyle w:val="Akapitzlist"/>
        <w:numPr>
          <w:ilvl w:val="0"/>
          <w:numId w:val="1"/>
        </w:numPr>
        <w:rPr>
          <w:rFonts w:ascii="Times New Roman" w:hAnsi="Times New Roman" w:cs="Times New Roman"/>
          <w:sz w:val="24"/>
          <w:szCs w:val="24"/>
        </w:rPr>
      </w:pPr>
      <w:r w:rsidRPr="000F2EC3">
        <w:rPr>
          <w:rFonts w:ascii="Times New Roman" w:hAnsi="Times New Roman" w:cs="Times New Roman"/>
          <w:sz w:val="24"/>
          <w:szCs w:val="24"/>
        </w:rPr>
        <w:t>WYDATKI</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Prognoza wydatków bieżących, oprócz kosztów obsługi długu, nie uległa zmianie względem poprzedniej WPF.</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 xml:space="preserve">Koszty obsługi długu zostały wyliczone zgodnie z aktualnymi danymi dotyczącymi posiadanych i planowanych zobowiązań oraz ich harmonogramów spłaty. W celu wyliczenia odsetek wykorzystano faktyczne lub szacowane wartości marży każdego zobowiązania oraz odpowiednie dla nich stawki bazowe WIBOR. Przyjęto, że w latach prognozy stawki bazowe WIBOR wyniosą 2,0%. Takie założenie ma na celu ustrzeżenie Gminy przed skutkami potencjalnych wzrostów stóp procentowych, które wpłyną na wielkość kosztów obsługi długu. Marżę na emitowanych obligacjach ustalono na poziomie 1,5 </w:t>
      </w:r>
      <w:proofErr w:type="spellStart"/>
      <w:r w:rsidRPr="000F2EC3">
        <w:rPr>
          <w:rFonts w:ascii="Times New Roman" w:hAnsi="Times New Roman" w:cs="Times New Roman"/>
          <w:sz w:val="24"/>
          <w:szCs w:val="24"/>
        </w:rPr>
        <w:t>p.p</w:t>
      </w:r>
      <w:proofErr w:type="spellEnd"/>
      <w:r w:rsidRPr="000F2EC3">
        <w:rPr>
          <w:rFonts w:ascii="Times New Roman" w:hAnsi="Times New Roman" w:cs="Times New Roman"/>
          <w:sz w:val="24"/>
          <w:szCs w:val="24"/>
        </w:rPr>
        <w:t>.</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Wydatki majątkowe zostały zaprognozowane z uwzględnieniem wykazu przedsięwzięć oraz możliwości samodzielnego finansowania inwestycji wynikających z wypracowanej nadwyżki operacyjnej. Od 2022 roku, ze względu na brak określonych na ten moment dalszych planów inwestycyjnych przekraczających możliwości własne Gminy, założono limit wydatków majątkowych na maksymalnym możliwym poziomie, niewymagającym pozyskania zewnętrznego finansowania.</w:t>
      </w:r>
    </w:p>
    <w:p w:rsidR="00DA1957" w:rsidRPr="000F2EC3" w:rsidRDefault="00DA1957" w:rsidP="00DD2534">
      <w:pPr>
        <w:pStyle w:val="Akapitzlist"/>
        <w:numPr>
          <w:ilvl w:val="0"/>
          <w:numId w:val="1"/>
        </w:numPr>
        <w:rPr>
          <w:rFonts w:ascii="Times New Roman" w:hAnsi="Times New Roman" w:cs="Times New Roman"/>
          <w:sz w:val="24"/>
          <w:szCs w:val="24"/>
        </w:rPr>
      </w:pPr>
      <w:r w:rsidRPr="000F2EC3">
        <w:rPr>
          <w:rFonts w:ascii="Times New Roman" w:hAnsi="Times New Roman" w:cs="Times New Roman"/>
          <w:sz w:val="24"/>
          <w:szCs w:val="24"/>
        </w:rPr>
        <w:t>PRZYCHODY</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W 2020 roku Gmina plan</w:t>
      </w:r>
      <w:r w:rsidR="005B5DDB">
        <w:rPr>
          <w:rFonts w:ascii="Times New Roman" w:hAnsi="Times New Roman" w:cs="Times New Roman"/>
          <w:sz w:val="24"/>
          <w:szCs w:val="24"/>
        </w:rPr>
        <w:t>uje przychody w kwocie 6 402 300,00 zł, z czego 6 400 000</w:t>
      </w:r>
      <w:r w:rsidRPr="000F2EC3">
        <w:rPr>
          <w:rFonts w:ascii="Times New Roman" w:hAnsi="Times New Roman" w:cs="Times New Roman"/>
          <w:sz w:val="24"/>
          <w:szCs w:val="24"/>
        </w:rPr>
        <w:t>,00 zł w fo</w:t>
      </w:r>
      <w:r w:rsidR="005B5DDB">
        <w:rPr>
          <w:rFonts w:ascii="Times New Roman" w:hAnsi="Times New Roman" w:cs="Times New Roman"/>
          <w:sz w:val="24"/>
          <w:szCs w:val="24"/>
        </w:rPr>
        <w:t xml:space="preserve">rmie emisji obligacji (w tym 3 500 </w:t>
      </w:r>
      <w:r w:rsidRPr="000F2EC3">
        <w:rPr>
          <w:rFonts w:ascii="Times New Roman" w:hAnsi="Times New Roman" w:cs="Times New Roman"/>
          <w:sz w:val="24"/>
          <w:szCs w:val="24"/>
        </w:rPr>
        <w:t>000,00 zł</w:t>
      </w:r>
      <w:r w:rsidR="005B5DDB">
        <w:rPr>
          <w:rFonts w:ascii="Times New Roman" w:hAnsi="Times New Roman" w:cs="Times New Roman"/>
          <w:sz w:val="24"/>
          <w:szCs w:val="24"/>
        </w:rPr>
        <w:t xml:space="preserve"> z nowego programu emisji</w:t>
      </w:r>
      <w:r w:rsidR="000109C8">
        <w:rPr>
          <w:rFonts w:ascii="Times New Roman" w:hAnsi="Times New Roman" w:cs="Times New Roman"/>
          <w:sz w:val="24"/>
          <w:szCs w:val="24"/>
        </w:rPr>
        <w:t xml:space="preserve">  w zamian za wolne środki ) </w:t>
      </w:r>
      <w:r w:rsidR="005B5DDB">
        <w:rPr>
          <w:rFonts w:ascii="Times New Roman" w:hAnsi="Times New Roman" w:cs="Times New Roman"/>
          <w:sz w:val="24"/>
          <w:szCs w:val="24"/>
        </w:rPr>
        <w:t xml:space="preserve">, a 2 </w:t>
      </w:r>
      <w:r w:rsidRPr="000F2EC3">
        <w:rPr>
          <w:rFonts w:ascii="Times New Roman" w:hAnsi="Times New Roman" w:cs="Times New Roman"/>
          <w:sz w:val="24"/>
          <w:szCs w:val="24"/>
        </w:rPr>
        <w:t>300,00 zł w formie wolnych środków.</w:t>
      </w:r>
    </w:p>
    <w:p w:rsidR="00DA1957" w:rsidRPr="000F2EC3" w:rsidRDefault="00DA1957" w:rsidP="000109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sz w:val="24"/>
          <w:szCs w:val="24"/>
        </w:rPr>
      </w:pPr>
      <w:r w:rsidRPr="000F2EC3">
        <w:rPr>
          <w:rFonts w:ascii="Times New Roman" w:hAnsi="Times New Roman" w:cs="Times New Roman"/>
          <w:sz w:val="24"/>
          <w:szCs w:val="24"/>
        </w:rPr>
        <w:t>W 2021 roku Gmina p</w:t>
      </w:r>
      <w:r w:rsidR="005B5DDB">
        <w:rPr>
          <w:rFonts w:ascii="Times New Roman" w:hAnsi="Times New Roman" w:cs="Times New Roman"/>
          <w:sz w:val="24"/>
          <w:szCs w:val="24"/>
        </w:rPr>
        <w:t xml:space="preserve">lanuje przychody w kwocie 6 500 </w:t>
      </w:r>
      <w:r w:rsidRPr="000F2EC3">
        <w:rPr>
          <w:rFonts w:ascii="Times New Roman" w:hAnsi="Times New Roman" w:cs="Times New Roman"/>
          <w:sz w:val="24"/>
          <w:szCs w:val="24"/>
        </w:rPr>
        <w:t>000,</w:t>
      </w:r>
      <w:r w:rsidR="000109C8">
        <w:rPr>
          <w:rFonts w:ascii="Times New Roman" w:hAnsi="Times New Roman" w:cs="Times New Roman"/>
          <w:sz w:val="24"/>
          <w:szCs w:val="24"/>
        </w:rPr>
        <w:t xml:space="preserve">00 zł w formie emisji obligacji </w:t>
      </w:r>
      <w:r w:rsidR="000109C8" w:rsidRPr="000109C8">
        <w:rPr>
          <w:rFonts w:ascii="Times New Roman" w:hAnsi="Times New Roman" w:cs="Times New Roman"/>
          <w:sz w:val="24"/>
          <w:szCs w:val="24"/>
        </w:rPr>
        <w:t xml:space="preserve"> </w:t>
      </w:r>
      <w:r w:rsidR="000109C8">
        <w:rPr>
          <w:rFonts w:ascii="Times New Roman" w:hAnsi="Times New Roman" w:cs="Times New Roman"/>
          <w:sz w:val="24"/>
          <w:szCs w:val="24"/>
        </w:rPr>
        <w:t>w tym:</w:t>
      </w:r>
      <w:r w:rsidR="000109C8" w:rsidRPr="000F2EC3">
        <w:rPr>
          <w:rFonts w:ascii="Times New Roman" w:hAnsi="Times New Roman" w:cs="Times New Roman"/>
          <w:sz w:val="24"/>
          <w:szCs w:val="24"/>
        </w:rPr>
        <w:t xml:space="preserve"> na deficyt planuje się kwotę 4 360 800,00 zł i na spłatę wcześniej zaciągniętych zobowiązań z tytułu kredytów i pożyczek 2 139 200,00 zł.</w:t>
      </w:r>
    </w:p>
    <w:p w:rsidR="00DA1957" w:rsidRPr="000F2EC3" w:rsidRDefault="00DA1957" w:rsidP="00DD2534">
      <w:pPr>
        <w:pStyle w:val="Akapitzlist"/>
        <w:numPr>
          <w:ilvl w:val="0"/>
          <w:numId w:val="1"/>
        </w:numPr>
        <w:rPr>
          <w:rFonts w:ascii="Times New Roman" w:hAnsi="Times New Roman" w:cs="Times New Roman"/>
          <w:sz w:val="24"/>
          <w:szCs w:val="24"/>
        </w:rPr>
      </w:pPr>
      <w:r w:rsidRPr="000F2EC3">
        <w:rPr>
          <w:rFonts w:ascii="Times New Roman" w:hAnsi="Times New Roman" w:cs="Times New Roman"/>
          <w:sz w:val="24"/>
          <w:szCs w:val="24"/>
        </w:rPr>
        <w:lastRenderedPageBreak/>
        <w:t>ROZCHODY</w:t>
      </w:r>
    </w:p>
    <w:p w:rsidR="000109C8"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 xml:space="preserve">Wartości rozchodów w </w:t>
      </w:r>
      <w:r w:rsidRPr="009B4BFB">
        <w:rPr>
          <w:rFonts w:ascii="Times New Roman" w:hAnsi="Times New Roman" w:cs="Times New Roman"/>
          <w:sz w:val="24"/>
          <w:szCs w:val="24"/>
        </w:rPr>
        <w:t>latach prognozy</w:t>
      </w:r>
      <w:r w:rsidR="009B4BFB">
        <w:rPr>
          <w:rFonts w:ascii="Times New Roman" w:hAnsi="Times New Roman" w:cs="Times New Roman"/>
          <w:sz w:val="24"/>
          <w:szCs w:val="24"/>
        </w:rPr>
        <w:t xml:space="preserve"> uwzględniają </w:t>
      </w:r>
      <w:r w:rsidRPr="009B4BFB">
        <w:rPr>
          <w:rFonts w:ascii="Times New Roman" w:hAnsi="Times New Roman" w:cs="Times New Roman"/>
          <w:sz w:val="24"/>
          <w:szCs w:val="24"/>
        </w:rPr>
        <w:t xml:space="preserve"> harmonogra</w:t>
      </w:r>
      <w:r w:rsidR="009B4BFB">
        <w:rPr>
          <w:rFonts w:ascii="Times New Roman" w:hAnsi="Times New Roman" w:cs="Times New Roman"/>
          <w:sz w:val="24"/>
          <w:szCs w:val="24"/>
        </w:rPr>
        <w:t>m</w:t>
      </w:r>
      <w:r w:rsidRPr="000F2EC3">
        <w:rPr>
          <w:rFonts w:ascii="Times New Roman" w:hAnsi="Times New Roman" w:cs="Times New Roman"/>
          <w:sz w:val="24"/>
          <w:szCs w:val="24"/>
        </w:rPr>
        <w:t xml:space="preserve"> spłaty długu. Gmina planuje nową emisję o</w:t>
      </w:r>
      <w:r w:rsidR="000109C8">
        <w:rPr>
          <w:rFonts w:ascii="Times New Roman" w:hAnsi="Times New Roman" w:cs="Times New Roman"/>
          <w:sz w:val="24"/>
          <w:szCs w:val="24"/>
        </w:rPr>
        <w:t xml:space="preserve">bligacji na łączną kwotę 10 000 </w:t>
      </w:r>
      <w:r w:rsidRPr="000F2EC3">
        <w:rPr>
          <w:rFonts w:ascii="Times New Roman" w:hAnsi="Times New Roman" w:cs="Times New Roman"/>
          <w:sz w:val="24"/>
          <w:szCs w:val="24"/>
        </w:rPr>
        <w:t xml:space="preserve">000,00 zł. Wykup nowych obligacji zaplanowano na lata 2027 - 2035. </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 xml:space="preserve">Spłata całości istniejącego i planowanego zadłużenia Gminy nastąpi w latach 2020 - 2035. </w:t>
      </w:r>
    </w:p>
    <w:p w:rsidR="00DA1957" w:rsidRPr="000F2EC3" w:rsidRDefault="00DA1957" w:rsidP="00DD2534">
      <w:pPr>
        <w:pStyle w:val="Akapitzlist"/>
        <w:numPr>
          <w:ilvl w:val="0"/>
          <w:numId w:val="1"/>
        </w:numPr>
        <w:rPr>
          <w:rFonts w:ascii="Times New Roman" w:hAnsi="Times New Roman" w:cs="Times New Roman"/>
          <w:sz w:val="24"/>
          <w:szCs w:val="24"/>
        </w:rPr>
      </w:pPr>
      <w:r w:rsidRPr="000F2EC3">
        <w:rPr>
          <w:rFonts w:ascii="Times New Roman" w:hAnsi="Times New Roman" w:cs="Times New Roman"/>
          <w:sz w:val="24"/>
          <w:szCs w:val="24"/>
        </w:rPr>
        <w:t>OBSŁUGA ZADŁUŻENIA WG ART. 243 UFP</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 xml:space="preserve">Relacja określona po prawej stronie nierówności we wzorze, o którym mowa w art. 243 ust. 1 </w:t>
      </w:r>
      <w:proofErr w:type="spellStart"/>
      <w:r w:rsidRPr="000F2EC3">
        <w:rPr>
          <w:rFonts w:ascii="Times New Roman" w:hAnsi="Times New Roman" w:cs="Times New Roman"/>
          <w:sz w:val="24"/>
          <w:szCs w:val="24"/>
        </w:rPr>
        <w:t>ufp</w:t>
      </w:r>
      <w:proofErr w:type="spellEnd"/>
      <w:r w:rsidRPr="000F2EC3">
        <w:rPr>
          <w:rFonts w:ascii="Times New Roman" w:hAnsi="Times New Roman" w:cs="Times New Roman"/>
          <w:sz w:val="24"/>
          <w:szCs w:val="24"/>
        </w:rPr>
        <w:t>, ustalona dla danego roku została wyliczona według zmian uchwalonych przez Sejm zgodnie z Ustawą z dnia 31 marca 2020 r. o zmianie ustawy o szczególnych rozwiązaniach związanych z zapobieganiem, przeciwdziałaniem i zwalczaniem COVID-19, innych chorób zakaźnych oraz wywołanych nimi sytuacji kryzysowych oraz niektórych innych ustaw (Dz.U. 2020 poz. 568).</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Według art. 31zl ww. Ustawy ustalając na lata 2020–2025 relację ograniczającą wysokość spłaty długu jednostki samorządu terytorialnego, wydatki bieżące budżetu jednostki podlegają pomniejszeniu o wydatki bieżące na obsługę długu.</w:t>
      </w:r>
    </w:p>
    <w:p w:rsidR="00DA1957" w:rsidRPr="000F2EC3" w:rsidRDefault="00DA1957" w:rsidP="00DD2534">
      <w:pPr>
        <w:spacing w:line="276" w:lineRule="auto"/>
        <w:rPr>
          <w:rFonts w:ascii="Times New Roman" w:hAnsi="Times New Roman" w:cs="Times New Roman"/>
          <w:sz w:val="24"/>
          <w:szCs w:val="24"/>
        </w:rPr>
      </w:pPr>
      <w:r w:rsidRPr="000F2EC3">
        <w:rPr>
          <w:rFonts w:ascii="Times New Roman" w:hAnsi="Times New Roman" w:cs="Times New Roman"/>
          <w:sz w:val="24"/>
          <w:szCs w:val="24"/>
        </w:rPr>
        <w:t xml:space="preserve">Stosując powyższe zmiany dopuszczalny limit spłaty zadłużenia na 2020 r. wynosi 23,51%. Obliczony on został jako średnia arytmetyczna relacji określonej po prawej stronie nierówności we wzorze, o którym mowa w art. 243 ust. 1 </w:t>
      </w:r>
      <w:proofErr w:type="spellStart"/>
      <w:r w:rsidRPr="000F2EC3">
        <w:rPr>
          <w:rFonts w:ascii="Times New Roman" w:hAnsi="Times New Roman" w:cs="Times New Roman"/>
          <w:sz w:val="24"/>
          <w:szCs w:val="24"/>
        </w:rPr>
        <w:t>ufp</w:t>
      </w:r>
      <w:proofErr w:type="spellEnd"/>
      <w:r w:rsidRPr="000F2EC3">
        <w:rPr>
          <w:rFonts w:ascii="Times New Roman" w:hAnsi="Times New Roman" w:cs="Times New Roman"/>
          <w:sz w:val="24"/>
          <w:szCs w:val="24"/>
        </w:rPr>
        <w:t>, ustalona dla lat 2017-2019 (wskaźnik jednoroczny).</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Według nowych zasad limitacji zadłużenia wskaźnik jednoroczny dla lat 2017-2019 wynosi odpowiednio:</w:t>
      </w:r>
    </w:p>
    <w:p w:rsidR="00DA1957" w:rsidRPr="000F2EC3" w:rsidRDefault="00DA1957" w:rsidP="00DD2534">
      <w:pPr>
        <w:pStyle w:val="Akapitzlist"/>
        <w:numPr>
          <w:ilvl w:val="0"/>
          <w:numId w:val="2"/>
        </w:numPr>
        <w:rPr>
          <w:rFonts w:ascii="Times New Roman" w:hAnsi="Times New Roman" w:cs="Times New Roman"/>
          <w:sz w:val="24"/>
          <w:szCs w:val="24"/>
        </w:rPr>
      </w:pPr>
      <w:r w:rsidRPr="000F2EC3">
        <w:rPr>
          <w:rFonts w:ascii="Times New Roman" w:hAnsi="Times New Roman" w:cs="Times New Roman"/>
          <w:sz w:val="24"/>
          <w:szCs w:val="24"/>
        </w:rPr>
        <w:t>23,52 % dla roku 2017,</w:t>
      </w:r>
    </w:p>
    <w:p w:rsidR="00DA1957" w:rsidRPr="000F2EC3" w:rsidRDefault="00DA1957" w:rsidP="00DD2534">
      <w:pPr>
        <w:pStyle w:val="Akapitzlist"/>
        <w:numPr>
          <w:ilvl w:val="0"/>
          <w:numId w:val="2"/>
        </w:numPr>
        <w:rPr>
          <w:rFonts w:ascii="Times New Roman" w:hAnsi="Times New Roman" w:cs="Times New Roman"/>
          <w:sz w:val="24"/>
          <w:szCs w:val="24"/>
        </w:rPr>
      </w:pPr>
      <w:r w:rsidRPr="000F2EC3">
        <w:rPr>
          <w:rFonts w:ascii="Times New Roman" w:hAnsi="Times New Roman" w:cs="Times New Roman"/>
          <w:sz w:val="24"/>
          <w:szCs w:val="24"/>
        </w:rPr>
        <w:t>20,76 % dla roku 2018,</w:t>
      </w:r>
    </w:p>
    <w:p w:rsidR="00DA1957" w:rsidRPr="000F2EC3" w:rsidRDefault="00DA1957" w:rsidP="00DD2534">
      <w:pPr>
        <w:pStyle w:val="Akapitzlist"/>
        <w:numPr>
          <w:ilvl w:val="0"/>
          <w:numId w:val="2"/>
        </w:numPr>
        <w:rPr>
          <w:rFonts w:ascii="Times New Roman" w:hAnsi="Times New Roman" w:cs="Times New Roman"/>
          <w:sz w:val="24"/>
          <w:szCs w:val="24"/>
        </w:rPr>
      </w:pPr>
      <w:r w:rsidRPr="000F2EC3">
        <w:rPr>
          <w:rFonts w:ascii="Times New Roman" w:hAnsi="Times New Roman" w:cs="Times New Roman"/>
          <w:sz w:val="24"/>
          <w:szCs w:val="24"/>
        </w:rPr>
        <w:t>26,25 % dla roku 2019.</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 xml:space="preserve">Relacja określona po lewej stronie nierówności we wzorze, o którym mowa w art. 243 ust. 1 </w:t>
      </w:r>
      <w:proofErr w:type="spellStart"/>
      <w:r w:rsidR="00623F77">
        <w:rPr>
          <w:rFonts w:ascii="Times New Roman" w:hAnsi="Times New Roman" w:cs="Times New Roman"/>
          <w:sz w:val="24"/>
          <w:szCs w:val="24"/>
        </w:rPr>
        <w:t>ufp</w:t>
      </w:r>
      <w:proofErr w:type="spellEnd"/>
      <w:r w:rsidR="00623F77">
        <w:rPr>
          <w:rFonts w:ascii="Times New Roman" w:hAnsi="Times New Roman" w:cs="Times New Roman"/>
          <w:sz w:val="24"/>
          <w:szCs w:val="24"/>
        </w:rPr>
        <w:t xml:space="preserve"> na 2020 r. wynosi 9,49</w:t>
      </w:r>
      <w:r w:rsidRPr="000F2EC3">
        <w:rPr>
          <w:rFonts w:ascii="Times New Roman" w:hAnsi="Times New Roman" w:cs="Times New Roman"/>
          <w:sz w:val="24"/>
          <w:szCs w:val="24"/>
        </w:rPr>
        <w:t>%. Gmina Chełmża zgodnie z powyższymi wyliczeniami zachowuje margines między dopuszczalną, a pl</w:t>
      </w:r>
      <w:r w:rsidR="00623F77">
        <w:rPr>
          <w:rFonts w:ascii="Times New Roman" w:hAnsi="Times New Roman" w:cs="Times New Roman"/>
          <w:sz w:val="24"/>
          <w:szCs w:val="24"/>
        </w:rPr>
        <w:t>anowaną spłata na poziomie 14,02</w:t>
      </w:r>
      <w:r w:rsidRPr="000F2EC3">
        <w:rPr>
          <w:rFonts w:ascii="Times New Roman" w:hAnsi="Times New Roman" w:cs="Times New Roman"/>
          <w:sz w:val="24"/>
          <w:szCs w:val="24"/>
        </w:rPr>
        <w:t>%.</w:t>
      </w:r>
    </w:p>
    <w:p w:rsidR="00DA1957" w:rsidRPr="000F2EC3" w:rsidRDefault="00DA1957" w:rsidP="00DD2534">
      <w:pPr>
        <w:rPr>
          <w:rFonts w:ascii="Times New Roman" w:hAnsi="Times New Roman" w:cs="Times New Roman"/>
          <w:sz w:val="24"/>
          <w:szCs w:val="24"/>
        </w:rPr>
      </w:pPr>
      <w:r w:rsidRPr="000F2EC3">
        <w:rPr>
          <w:rFonts w:ascii="Times New Roman" w:hAnsi="Times New Roman" w:cs="Times New Roman"/>
          <w:sz w:val="24"/>
          <w:szCs w:val="24"/>
        </w:rPr>
        <w:t>Zestawienie  dotyczące wskaźników planowanej i dopuszczalnej spłaty w WPF w latach 2020-2034 przedstawia poniższa tabela.</w:t>
      </w:r>
    </w:p>
    <w:p w:rsidR="00DA1957" w:rsidRPr="000F2EC3" w:rsidRDefault="00DA1957" w:rsidP="00DD2534">
      <w:pPr>
        <w:pStyle w:val="Legenda"/>
        <w:keepNext/>
        <w:spacing w:after="0"/>
        <w:rPr>
          <w:rFonts w:ascii="Times New Roman" w:hAnsi="Times New Roman" w:cs="Times New Roman"/>
          <w:sz w:val="24"/>
          <w:szCs w:val="24"/>
        </w:rPr>
      </w:pPr>
      <w:r w:rsidRPr="000F2EC3">
        <w:rPr>
          <w:rFonts w:ascii="Times New Roman" w:hAnsi="Times New Roman" w:cs="Times New Roman"/>
          <w:sz w:val="24"/>
          <w:szCs w:val="24"/>
        </w:rPr>
        <w:t xml:space="preserve"> Wskaźnik z art. 243 </w:t>
      </w:r>
      <w:proofErr w:type="spellStart"/>
      <w:r w:rsidRPr="000F2EC3">
        <w:rPr>
          <w:rFonts w:ascii="Times New Roman" w:hAnsi="Times New Roman" w:cs="Times New Roman"/>
          <w:sz w:val="24"/>
          <w:szCs w:val="24"/>
        </w:rPr>
        <w:t>ufp</w:t>
      </w:r>
      <w:proofErr w:type="spellEnd"/>
      <w:r w:rsidRPr="000F2EC3">
        <w:rPr>
          <w:rFonts w:ascii="Times New Roman" w:hAnsi="Times New Roman" w:cs="Times New Roman"/>
          <w:sz w:val="24"/>
          <w:szCs w:val="24"/>
        </w:rPr>
        <w:t xml:space="preserve"> w WPF gminy Chełmża</w:t>
      </w:r>
    </w:p>
    <w:tbl>
      <w:tblPr>
        <w:tblW w:w="5000" w:type="pct"/>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798"/>
        <w:gridCol w:w="201"/>
        <w:gridCol w:w="503"/>
        <w:gridCol w:w="363"/>
        <w:gridCol w:w="341"/>
        <w:gridCol w:w="392"/>
        <w:gridCol w:w="312"/>
        <w:gridCol w:w="423"/>
        <w:gridCol w:w="281"/>
        <w:gridCol w:w="457"/>
        <w:gridCol w:w="247"/>
        <w:gridCol w:w="488"/>
        <w:gridCol w:w="216"/>
        <w:gridCol w:w="520"/>
        <w:gridCol w:w="184"/>
        <w:gridCol w:w="663"/>
        <w:gridCol w:w="663"/>
      </w:tblGrid>
      <w:tr w:rsidR="00623F77" w:rsidRPr="000F2EC3" w:rsidTr="00623F77">
        <w:trPr>
          <w:trHeight w:val="255"/>
        </w:trPr>
        <w:tc>
          <w:tcPr>
            <w:tcW w:w="1527" w:type="pct"/>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 </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2020</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2021</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2022</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2023</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2024</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2025</w:t>
            </w:r>
          </w:p>
        </w:tc>
        <w:tc>
          <w:tcPr>
            <w:tcW w:w="38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2026</w:t>
            </w:r>
          </w:p>
        </w:tc>
        <w:tc>
          <w:tcPr>
            <w:tcW w:w="409" w:type="pct"/>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2027</w:t>
            </w:r>
          </w:p>
        </w:tc>
        <w:tc>
          <w:tcPr>
            <w:tcW w:w="362" w:type="pct"/>
            <w:shd w:val="clear" w:color="000000" w:fill="DAE4F1"/>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2028</w:t>
            </w:r>
          </w:p>
        </w:tc>
      </w:tr>
      <w:tr w:rsidR="00623F77" w:rsidRPr="000F2EC3" w:rsidTr="00623F77">
        <w:trPr>
          <w:trHeight w:val="300"/>
        </w:trPr>
        <w:tc>
          <w:tcPr>
            <w:tcW w:w="1527" w:type="pct"/>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Wskaźnik planowanej spłaty</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9,49</w:t>
            </w:r>
            <w:r w:rsidR="00DA1957" w:rsidRPr="000F2EC3">
              <w:rPr>
                <w:rFonts w:ascii="Times New Roman" w:eastAsia="Times New Roman" w:hAnsi="Times New Roman" w:cs="Times New Roman"/>
                <w:color w:val="000000"/>
                <w:sz w:val="24"/>
                <w:szCs w:val="24"/>
                <w:lang w:eastAsia="pl-PL"/>
              </w:rPr>
              <w:t>%</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10,21%</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9,45%</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9,22%</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9,22%</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9,05%</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8,91%</w:t>
            </w:r>
          </w:p>
        </w:tc>
        <w:tc>
          <w:tcPr>
            <w:tcW w:w="409" w:type="pct"/>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9,35%</w:t>
            </w:r>
          </w:p>
        </w:tc>
        <w:tc>
          <w:tcPr>
            <w:tcW w:w="362" w:type="pct"/>
            <w:vAlign w:val="bottom"/>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8,88%</w:t>
            </w:r>
          </w:p>
        </w:tc>
      </w:tr>
      <w:tr w:rsidR="00623F77" w:rsidRPr="000F2EC3" w:rsidTr="00623F77">
        <w:trPr>
          <w:trHeight w:val="315"/>
        </w:trPr>
        <w:tc>
          <w:tcPr>
            <w:tcW w:w="1527" w:type="pct"/>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 xml:space="preserve">Limit dopuszczalnej spłaty art. 243 </w:t>
            </w:r>
            <w:proofErr w:type="spellStart"/>
            <w:r w:rsidRPr="000F2EC3">
              <w:rPr>
                <w:rFonts w:ascii="Times New Roman" w:eastAsia="Times New Roman" w:hAnsi="Times New Roman" w:cs="Times New Roman"/>
                <w:color w:val="000000"/>
                <w:sz w:val="24"/>
                <w:szCs w:val="24"/>
                <w:lang w:eastAsia="pl-PL"/>
              </w:rPr>
              <w:t>ufp</w:t>
            </w:r>
            <w:proofErr w:type="spellEnd"/>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23,51%</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20,74</w:t>
            </w:r>
            <w:r w:rsidR="00DA1957" w:rsidRPr="000F2EC3">
              <w:rPr>
                <w:rFonts w:ascii="Times New Roman" w:eastAsia="Times New Roman" w:hAnsi="Times New Roman" w:cs="Times New Roman"/>
                <w:color w:val="000000"/>
                <w:sz w:val="24"/>
                <w:szCs w:val="24"/>
                <w:lang w:eastAsia="pl-PL"/>
              </w:rPr>
              <w:t>%</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20,50</w:t>
            </w:r>
            <w:r w:rsidR="00DA1957" w:rsidRPr="000F2EC3">
              <w:rPr>
                <w:rFonts w:ascii="Times New Roman" w:eastAsia="Times New Roman" w:hAnsi="Times New Roman" w:cs="Times New Roman"/>
                <w:color w:val="000000"/>
                <w:sz w:val="24"/>
                <w:szCs w:val="24"/>
                <w:lang w:eastAsia="pl-PL"/>
              </w:rPr>
              <w:t>%</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19,90</w:t>
            </w:r>
            <w:r w:rsidR="00DA1957" w:rsidRPr="000F2EC3">
              <w:rPr>
                <w:rFonts w:ascii="Times New Roman" w:eastAsia="Times New Roman" w:hAnsi="Times New Roman" w:cs="Times New Roman"/>
                <w:color w:val="000000"/>
                <w:sz w:val="24"/>
                <w:szCs w:val="24"/>
                <w:lang w:eastAsia="pl-PL"/>
              </w:rPr>
              <w:t>%</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22,52</w:t>
            </w:r>
            <w:r w:rsidR="00DA1957" w:rsidRPr="000F2EC3">
              <w:rPr>
                <w:rFonts w:ascii="Times New Roman" w:eastAsia="Times New Roman" w:hAnsi="Times New Roman" w:cs="Times New Roman"/>
                <w:color w:val="000000"/>
                <w:sz w:val="24"/>
                <w:szCs w:val="24"/>
                <w:lang w:eastAsia="pl-PL"/>
              </w:rPr>
              <w:t>%</w:t>
            </w:r>
          </w:p>
        </w:tc>
        <w:tc>
          <w:tcPr>
            <w:tcW w:w="38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23,20%</w:t>
            </w:r>
          </w:p>
        </w:tc>
        <w:tc>
          <w:tcPr>
            <w:tcW w:w="386" w:type="pct"/>
            <w:gridSpan w:val="2"/>
            <w:shd w:val="clear" w:color="auto" w:fill="auto"/>
            <w:noWrap/>
            <w:vAlign w:val="bottom"/>
            <w:hideMark/>
          </w:tcPr>
          <w:p w:rsidR="00DA1957" w:rsidRPr="000F2EC3" w:rsidRDefault="00623F77"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21,80</w:t>
            </w:r>
            <w:r w:rsidR="00DA1957" w:rsidRPr="000F2EC3">
              <w:rPr>
                <w:rFonts w:ascii="Times New Roman" w:eastAsia="Times New Roman" w:hAnsi="Times New Roman" w:cs="Times New Roman"/>
                <w:color w:val="000000"/>
                <w:sz w:val="24"/>
                <w:szCs w:val="24"/>
                <w:lang w:eastAsia="pl-PL"/>
              </w:rPr>
              <w:t>%</w:t>
            </w:r>
          </w:p>
        </w:tc>
        <w:tc>
          <w:tcPr>
            <w:tcW w:w="409" w:type="pct"/>
            <w:shd w:val="clear" w:color="auto" w:fill="auto"/>
            <w:noWrap/>
            <w:vAlign w:val="bottom"/>
            <w:hideMark/>
          </w:tcPr>
          <w:p w:rsidR="00DA1957" w:rsidRPr="000F2EC3" w:rsidRDefault="009B4BFB"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21,41</w:t>
            </w:r>
            <w:r w:rsidR="00DA1957" w:rsidRPr="000F2EC3">
              <w:rPr>
                <w:rFonts w:ascii="Times New Roman" w:eastAsia="Times New Roman" w:hAnsi="Times New Roman" w:cs="Times New Roman"/>
                <w:color w:val="000000"/>
                <w:sz w:val="24"/>
                <w:szCs w:val="24"/>
                <w:lang w:eastAsia="pl-PL"/>
              </w:rPr>
              <w:t>%</w:t>
            </w:r>
          </w:p>
        </w:tc>
        <w:tc>
          <w:tcPr>
            <w:tcW w:w="362" w:type="pct"/>
            <w:vAlign w:val="bottom"/>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22,79%</w:t>
            </w:r>
          </w:p>
        </w:tc>
      </w:tr>
      <w:tr w:rsidR="00623F77" w:rsidRPr="000F2EC3" w:rsidTr="00623F77">
        <w:trPr>
          <w:trHeight w:val="255"/>
        </w:trPr>
        <w:tc>
          <w:tcPr>
            <w:tcW w:w="162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 </w:t>
            </w:r>
          </w:p>
        </w:tc>
        <w:tc>
          <w:tcPr>
            <w:tcW w:w="487"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2029</w:t>
            </w:r>
          </w:p>
        </w:tc>
        <w:tc>
          <w:tcPr>
            <w:tcW w:w="404"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2030</w:t>
            </w:r>
          </w:p>
        </w:tc>
        <w:tc>
          <w:tcPr>
            <w:tcW w:w="405"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2031</w:t>
            </w:r>
          </w:p>
        </w:tc>
        <w:tc>
          <w:tcPr>
            <w:tcW w:w="407"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2032</w:t>
            </w:r>
          </w:p>
        </w:tc>
        <w:tc>
          <w:tcPr>
            <w:tcW w:w="405"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2033</w:t>
            </w:r>
          </w:p>
        </w:tc>
        <w:tc>
          <w:tcPr>
            <w:tcW w:w="40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2034</w:t>
            </w:r>
          </w:p>
        </w:tc>
        <w:tc>
          <w:tcPr>
            <w:tcW w:w="499"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2035</w:t>
            </w:r>
          </w:p>
        </w:tc>
        <w:tc>
          <w:tcPr>
            <w:tcW w:w="362" w:type="pct"/>
            <w:shd w:val="clear" w:color="000000" w:fill="DAE4F1"/>
            <w:vAlign w:val="bottom"/>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p>
        </w:tc>
      </w:tr>
      <w:tr w:rsidR="00623F77" w:rsidRPr="000F2EC3" w:rsidTr="00623F77">
        <w:trPr>
          <w:trHeight w:val="300"/>
        </w:trPr>
        <w:tc>
          <w:tcPr>
            <w:tcW w:w="162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Wskaźnik planowanej spłaty</w:t>
            </w:r>
          </w:p>
        </w:tc>
        <w:tc>
          <w:tcPr>
            <w:tcW w:w="487"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8,63%</w:t>
            </w:r>
          </w:p>
        </w:tc>
        <w:tc>
          <w:tcPr>
            <w:tcW w:w="404"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8,61%</w:t>
            </w:r>
          </w:p>
        </w:tc>
        <w:tc>
          <w:tcPr>
            <w:tcW w:w="405"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8,26%</w:t>
            </w:r>
          </w:p>
        </w:tc>
        <w:tc>
          <w:tcPr>
            <w:tcW w:w="407"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7,92%</w:t>
            </w:r>
          </w:p>
        </w:tc>
        <w:tc>
          <w:tcPr>
            <w:tcW w:w="405"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7,75%</w:t>
            </w:r>
          </w:p>
        </w:tc>
        <w:tc>
          <w:tcPr>
            <w:tcW w:w="40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7,38%</w:t>
            </w:r>
          </w:p>
        </w:tc>
        <w:tc>
          <w:tcPr>
            <w:tcW w:w="499"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5,80%</w:t>
            </w:r>
          </w:p>
        </w:tc>
        <w:tc>
          <w:tcPr>
            <w:tcW w:w="362" w:type="pct"/>
            <w:vAlign w:val="bottom"/>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p>
        </w:tc>
      </w:tr>
      <w:tr w:rsidR="00623F77" w:rsidRPr="000F2EC3" w:rsidTr="00623F77">
        <w:trPr>
          <w:trHeight w:val="315"/>
        </w:trPr>
        <w:tc>
          <w:tcPr>
            <w:tcW w:w="1626" w:type="pct"/>
            <w:gridSpan w:val="2"/>
            <w:shd w:val="clear" w:color="000000" w:fill="DAE4F1"/>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 xml:space="preserve">Limit dopuszczalnej spłaty z art. 243 </w:t>
            </w:r>
            <w:proofErr w:type="spellStart"/>
            <w:r w:rsidRPr="000F2EC3">
              <w:rPr>
                <w:rFonts w:ascii="Times New Roman" w:eastAsia="Times New Roman" w:hAnsi="Times New Roman" w:cs="Times New Roman"/>
                <w:color w:val="000000"/>
                <w:sz w:val="24"/>
                <w:szCs w:val="24"/>
                <w:lang w:eastAsia="pl-PL"/>
              </w:rPr>
              <w:t>ufp</w:t>
            </w:r>
            <w:proofErr w:type="spellEnd"/>
          </w:p>
        </w:tc>
        <w:tc>
          <w:tcPr>
            <w:tcW w:w="487"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23,37%</w:t>
            </w:r>
          </w:p>
        </w:tc>
        <w:tc>
          <w:tcPr>
            <w:tcW w:w="404" w:type="pct"/>
            <w:gridSpan w:val="2"/>
            <w:shd w:val="clear" w:color="auto" w:fill="auto"/>
            <w:noWrap/>
            <w:vAlign w:val="bottom"/>
            <w:hideMark/>
          </w:tcPr>
          <w:p w:rsidR="00DA1957" w:rsidRPr="000F2EC3" w:rsidRDefault="009B4BFB" w:rsidP="00DD2534">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23,3</w:t>
            </w:r>
            <w:r w:rsidR="00DA1957" w:rsidRPr="000F2EC3">
              <w:rPr>
                <w:rFonts w:ascii="Times New Roman" w:eastAsia="Times New Roman" w:hAnsi="Times New Roman" w:cs="Times New Roman"/>
                <w:color w:val="000000"/>
                <w:sz w:val="24"/>
                <w:szCs w:val="24"/>
                <w:lang w:eastAsia="pl-PL"/>
              </w:rPr>
              <w:t>7%</w:t>
            </w:r>
          </w:p>
        </w:tc>
        <w:tc>
          <w:tcPr>
            <w:tcW w:w="405"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23,59%</w:t>
            </w:r>
          </w:p>
        </w:tc>
        <w:tc>
          <w:tcPr>
            <w:tcW w:w="407"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23,97%</w:t>
            </w:r>
          </w:p>
        </w:tc>
        <w:tc>
          <w:tcPr>
            <w:tcW w:w="405"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24,26%</w:t>
            </w:r>
          </w:p>
        </w:tc>
        <w:tc>
          <w:tcPr>
            <w:tcW w:w="406"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24,45%</w:t>
            </w:r>
          </w:p>
        </w:tc>
        <w:tc>
          <w:tcPr>
            <w:tcW w:w="499" w:type="pct"/>
            <w:gridSpan w:val="2"/>
            <w:shd w:val="clear" w:color="auto" w:fill="auto"/>
            <w:noWrap/>
            <w:vAlign w:val="bottom"/>
            <w:hideMark/>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r w:rsidRPr="000F2EC3">
              <w:rPr>
                <w:rFonts w:ascii="Times New Roman" w:eastAsia="Times New Roman" w:hAnsi="Times New Roman" w:cs="Times New Roman"/>
                <w:color w:val="000000"/>
                <w:sz w:val="24"/>
                <w:szCs w:val="24"/>
                <w:lang w:eastAsia="pl-PL"/>
              </w:rPr>
              <w:t>24,56%</w:t>
            </w:r>
          </w:p>
        </w:tc>
        <w:tc>
          <w:tcPr>
            <w:tcW w:w="362" w:type="pct"/>
            <w:vAlign w:val="bottom"/>
          </w:tcPr>
          <w:p w:rsidR="00DA1957" w:rsidRPr="000F2EC3" w:rsidRDefault="00DA1957" w:rsidP="00DD2534">
            <w:pPr>
              <w:spacing w:after="0" w:line="240" w:lineRule="auto"/>
              <w:rPr>
                <w:rFonts w:ascii="Times New Roman" w:eastAsia="Times New Roman" w:hAnsi="Times New Roman" w:cs="Times New Roman"/>
                <w:color w:val="000000"/>
                <w:sz w:val="24"/>
                <w:szCs w:val="24"/>
                <w:lang w:eastAsia="pl-PL"/>
              </w:rPr>
            </w:pPr>
          </w:p>
        </w:tc>
      </w:tr>
    </w:tbl>
    <w:p w:rsidR="000F2EC3" w:rsidRPr="00880696" w:rsidRDefault="009B4BFB" w:rsidP="000F2EC3">
      <w:pPr>
        <w:rPr>
          <w:rFonts w:ascii="Times New Roman" w:hAnsi="Times New Roman" w:cs="Times New Roman"/>
          <w:i/>
          <w:iCs/>
          <w:color w:val="44546A" w:themeColor="text2"/>
          <w:sz w:val="24"/>
          <w:szCs w:val="24"/>
        </w:rPr>
      </w:pPr>
      <w:r>
        <w:rPr>
          <w:rFonts w:ascii="Times New Roman" w:hAnsi="Times New Roman" w:cs="Times New Roman"/>
          <w:i/>
          <w:iCs/>
          <w:color w:val="44546A" w:themeColor="text2"/>
          <w:sz w:val="24"/>
          <w:szCs w:val="24"/>
        </w:rPr>
        <w:t>(Tabela przedstawia dane z WPF kolumna 8.1 i 8.3.1)</w:t>
      </w:r>
      <w:bookmarkStart w:id="0" w:name="_GoBack"/>
      <w:bookmarkEnd w:id="0"/>
    </w:p>
    <w:sectPr w:rsidR="000F2EC3" w:rsidRPr="00880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E0B" w:rsidRDefault="00CF3E0B" w:rsidP="00880696">
      <w:pPr>
        <w:spacing w:after="0" w:line="240" w:lineRule="auto"/>
      </w:pPr>
      <w:r>
        <w:separator/>
      </w:r>
    </w:p>
  </w:endnote>
  <w:endnote w:type="continuationSeparator" w:id="0">
    <w:p w:rsidR="00CF3E0B" w:rsidRDefault="00CF3E0B" w:rsidP="0088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E0B" w:rsidRDefault="00CF3E0B" w:rsidP="00880696">
      <w:pPr>
        <w:spacing w:after="0" w:line="240" w:lineRule="auto"/>
      </w:pPr>
      <w:r>
        <w:separator/>
      </w:r>
    </w:p>
  </w:footnote>
  <w:footnote w:type="continuationSeparator" w:id="0">
    <w:p w:rsidR="00CF3E0B" w:rsidRDefault="00CF3E0B" w:rsidP="00880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52818"/>
    <w:multiLevelType w:val="hybridMultilevel"/>
    <w:tmpl w:val="BD7266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9F2C7A"/>
    <w:multiLevelType w:val="hybridMultilevel"/>
    <w:tmpl w:val="E92E2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E0"/>
    <w:rsid w:val="000109C8"/>
    <w:rsid w:val="00014B5E"/>
    <w:rsid w:val="000F2EC3"/>
    <w:rsid w:val="00461B14"/>
    <w:rsid w:val="004A1DB4"/>
    <w:rsid w:val="00515032"/>
    <w:rsid w:val="005B5DDB"/>
    <w:rsid w:val="00623F77"/>
    <w:rsid w:val="00880696"/>
    <w:rsid w:val="009B4BFB"/>
    <w:rsid w:val="009C74FA"/>
    <w:rsid w:val="00A516E0"/>
    <w:rsid w:val="00A7755A"/>
    <w:rsid w:val="00C666EE"/>
    <w:rsid w:val="00CF3E0B"/>
    <w:rsid w:val="00DA1957"/>
    <w:rsid w:val="00DD2534"/>
    <w:rsid w:val="00F96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25C88-05B4-43BD-B248-9C41885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957"/>
    <w:pPr>
      <w:spacing w:after="160" w:line="259"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461B14"/>
    <w:pPr>
      <w:keepNext/>
      <w:spacing w:line="360" w:lineRule="auto"/>
      <w:ind w:left="2124" w:firstLine="708"/>
      <w:outlineLvl w:val="0"/>
    </w:pPr>
    <w:rPr>
      <w:b/>
      <w:bCs/>
    </w:rPr>
  </w:style>
  <w:style w:type="paragraph" w:styleId="Nagwek3">
    <w:name w:val="heading 3"/>
    <w:basedOn w:val="Normalny"/>
    <w:next w:val="Normalny"/>
    <w:link w:val="Nagwek3Znak"/>
    <w:qFormat/>
    <w:rsid w:val="00461B14"/>
    <w:pPr>
      <w:keepNext/>
      <w:spacing w:line="360" w:lineRule="auto"/>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61B14"/>
    <w:rPr>
      <w:b/>
      <w:bCs/>
      <w:sz w:val="22"/>
      <w:szCs w:val="22"/>
      <w:lang w:eastAsia="pl-PL"/>
    </w:rPr>
  </w:style>
  <w:style w:type="character" w:customStyle="1" w:styleId="Nagwek3Znak">
    <w:name w:val="Nagłówek 3 Znak"/>
    <w:link w:val="Nagwek3"/>
    <w:rsid w:val="00461B14"/>
    <w:rPr>
      <w:b/>
      <w:bCs/>
      <w:sz w:val="24"/>
      <w:szCs w:val="24"/>
      <w:lang w:eastAsia="pl-PL"/>
    </w:rPr>
  </w:style>
  <w:style w:type="paragraph" w:styleId="Akapitzlist">
    <w:name w:val="List Paragraph"/>
    <w:basedOn w:val="Normalny"/>
    <w:uiPriority w:val="34"/>
    <w:qFormat/>
    <w:rsid w:val="00DA1957"/>
    <w:pPr>
      <w:ind w:left="720"/>
      <w:contextualSpacing/>
    </w:pPr>
  </w:style>
  <w:style w:type="paragraph" w:styleId="Legenda">
    <w:name w:val="caption"/>
    <w:basedOn w:val="Normalny"/>
    <w:next w:val="Normalny"/>
    <w:uiPriority w:val="35"/>
    <w:unhideWhenUsed/>
    <w:qFormat/>
    <w:rsid w:val="00DA1957"/>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880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69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880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69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698</Words>
  <Characters>4193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MR. Rygielska</dc:creator>
  <cp:keywords/>
  <dc:description/>
  <cp:lastModifiedBy>Hanna Jesionowska</cp:lastModifiedBy>
  <cp:revision>12</cp:revision>
  <dcterms:created xsi:type="dcterms:W3CDTF">2020-06-24T10:08:00Z</dcterms:created>
  <dcterms:modified xsi:type="dcterms:W3CDTF">2020-06-26T06:21:00Z</dcterms:modified>
</cp:coreProperties>
</file>