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CD" w:rsidRDefault="006421CD" w:rsidP="006421CD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do uchwały Nr XXV/166/20</w:t>
      </w:r>
    </w:p>
    <w:p w:rsidR="006421CD" w:rsidRDefault="006421CD" w:rsidP="006421CD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Gminy Chełmża</w:t>
      </w:r>
    </w:p>
    <w:p w:rsidR="006421CD" w:rsidRDefault="006421CD" w:rsidP="006421CD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31 marca 2020 r.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ind w:left="4956"/>
        <w:rPr>
          <w:rFonts w:ascii="TimesNewRomanPSMT" w:hAnsi="TimesNewRomanPSMT" w:cs="TimesNewRomanPSMT"/>
        </w:rPr>
      </w:pP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Zasady udzielania i rozliczania dotacji celowej na dofinansowanie zakupu, montażu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 uruchomienia nowego źródła ciepła w celu ograniczenia zanieczyszczeń powietrza na terenie Gminy Chełmża.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Cel dotacji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Zasady udzielania i rozliczania dotacji celowej na dofinansowanie zakupu, montażu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uruchomienia nowego źródła ciepła w celu ograniczenia zanieczyszczeń powietrza na terenie Gminy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Chełmża, zwane dalej Zasadami, określają warunki na jakich następuje wspieranie przedsięwzięć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zmierzających do poprawy stanu środowiska naturalnego, poprzez wymianę, zakup, montaż i uruchomienie nowego źródła ciepła w celu zmniejszenia ilości zanieczyszczeń emitowanych do powietrza w wyniku procesów spalania paliw stałych w budynkach mieszkalnych jednorodzinnych i lokalach mieszkalnych na terenie Gminy Chełmża.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przyznania dotacji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1. Przedmiotem dofinansowania objęte będą przedsięwzięcia związane z wymianą istniejącego źródła ciepła zasilanego paliwem stałym w budynkach mieszkalnych jednorodzinnych i lokalach mieszkalnych na nowe źródło ciepła o wyższej sprawności: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kotły na paliwa stałe, o których mowa w ust. 3;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kotły gazowe, o których mowa w ust. 4;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kotły olejowe, o których mowa w ust. 4;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kotły elektryczne.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Materiały oraz urządzenia użyte do wymiany źródła ciepła muszą być fabrycznie nowe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zamontowane po raz pierwszy oraz spełniać wymagania wynikające z obowiązujących norm.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Kotły na paliwa stałe muszą spełniać wymagania:</w:t>
      </w:r>
    </w:p>
    <w:p w:rsidR="006421CD" w:rsidRPr="006421CD" w:rsidRDefault="006421CD" w:rsidP="00181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 xml:space="preserve">klasy 5, określone w normie PN-EN 303-5:2012 lub ECODESIGN „Kotły grzewcze – Część 5: Kotły grzewcze na paliwa stałe z automatycznym zasypem paliwa o mocy nominalnej do 75 </w:t>
      </w:r>
      <w:proofErr w:type="spellStart"/>
      <w:r w:rsidRPr="006421CD">
        <w:rPr>
          <w:rFonts w:ascii="TimesNewRomanPSMT" w:hAnsi="TimesNewRomanPSMT" w:cs="TimesNewRomanPSMT"/>
        </w:rPr>
        <w:t>kW</w:t>
      </w:r>
      <w:proofErr w:type="spellEnd"/>
      <w:r w:rsidRPr="006421CD">
        <w:rPr>
          <w:rFonts w:ascii="TimesNewRomanPSMT" w:hAnsi="TimesNewRomanPSMT" w:cs="TimesNewRomanPSMT"/>
        </w:rPr>
        <w:t xml:space="preserve"> – Terminologia, wymagania, badania i oznakowanie” lub</w:t>
      </w:r>
    </w:p>
    <w:p w:rsidR="006421CD" w:rsidRPr="006421CD" w:rsidRDefault="006421CD" w:rsidP="00181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klasy efektywności energetycznej minimum A (kotły na biomasę), minimum B (kotły na</w:t>
      </w:r>
      <w:r>
        <w:rPr>
          <w:rFonts w:ascii="TimesNewRomanPSMT" w:hAnsi="TimesNewRomanPSMT" w:cs="TimesNewRomanPSMT"/>
        </w:rPr>
        <w:t xml:space="preserve"> </w:t>
      </w:r>
      <w:r w:rsidRPr="006421CD">
        <w:rPr>
          <w:rFonts w:ascii="TimesNewRomanPSMT" w:hAnsi="TimesNewRomanPSMT" w:cs="TimesNewRomanPSMT"/>
        </w:rPr>
        <w:t>paliwa kopalne), określone w Rozporządzeniu Komisji (UE) 2015/1189 z dnia 28 kwietnia 2015 r.,</w:t>
      </w:r>
      <w:r>
        <w:rPr>
          <w:rFonts w:ascii="TimesNewRomanPSMT" w:hAnsi="TimesNewRomanPSMT" w:cs="TimesNewRomanPSMT"/>
        </w:rPr>
        <w:t xml:space="preserve"> </w:t>
      </w:r>
      <w:r w:rsidRPr="006421CD">
        <w:rPr>
          <w:rFonts w:ascii="TimesNewRomanPSMT" w:hAnsi="TimesNewRomanPSMT" w:cs="TimesNewRomanPSMT"/>
        </w:rPr>
        <w:t>w sprawie wykonania dyrektywy Parlamentu Europejskiego i Rady 209/125/WE w odniesieniu do</w:t>
      </w:r>
      <w:r>
        <w:rPr>
          <w:rFonts w:ascii="TimesNewRomanPSMT" w:hAnsi="TimesNewRomanPSMT" w:cs="TimesNewRomanPSMT"/>
        </w:rPr>
        <w:t xml:space="preserve"> </w:t>
      </w:r>
      <w:r w:rsidRPr="006421CD">
        <w:rPr>
          <w:rFonts w:ascii="TimesNewRomanPSMT" w:hAnsi="TimesNewRomanPSMT" w:cs="TimesNewRomanPSMT"/>
        </w:rPr>
        <w:t xml:space="preserve">wymogów dotyczących </w:t>
      </w:r>
      <w:proofErr w:type="spellStart"/>
      <w:r w:rsidRPr="006421CD">
        <w:rPr>
          <w:rFonts w:ascii="TimesNewRomanPSMT" w:hAnsi="TimesNewRomanPSMT" w:cs="TimesNewRomanPSMT"/>
        </w:rPr>
        <w:t>ekoprojektu</w:t>
      </w:r>
      <w:proofErr w:type="spellEnd"/>
      <w:r w:rsidRPr="006421CD">
        <w:rPr>
          <w:rFonts w:ascii="TimesNewRomanPSMT" w:hAnsi="TimesNewRomanPSMT" w:cs="TimesNewRomanPSMT"/>
        </w:rPr>
        <w:t xml:space="preserve"> dla kotłów na paliwo stałe (</w:t>
      </w:r>
      <w:proofErr w:type="spellStart"/>
      <w:r w:rsidRPr="006421CD">
        <w:rPr>
          <w:rFonts w:ascii="TimesNewRomanPSMT" w:hAnsi="TimesNewRomanPSMT" w:cs="TimesNewRomanPSMT"/>
        </w:rPr>
        <w:t>Dz.U</w:t>
      </w:r>
      <w:proofErr w:type="spellEnd"/>
      <w:r w:rsidRPr="006421CD">
        <w:rPr>
          <w:rFonts w:ascii="TimesNewRomanPSMT" w:hAnsi="TimesNewRomanPSMT" w:cs="TimesNewRomanPSMT"/>
        </w:rPr>
        <w:t>. UE L 193 z 21.07.2015 s 100 oraz</w:t>
      </w:r>
    </w:p>
    <w:p w:rsidR="006421CD" w:rsidRPr="006421CD" w:rsidRDefault="006421CD" w:rsidP="00181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lastRenderedPageBreak/>
        <w:t>rozporządzenia Ministra Rozwoju i Finansów z dnia 1 sierpnia 2017 r. w sprawie wymagań dla kotłów na paliwo stałe (</w:t>
      </w:r>
      <w:proofErr w:type="spellStart"/>
      <w:r w:rsidRPr="006421CD">
        <w:rPr>
          <w:rFonts w:ascii="TimesNewRomanPSMT" w:hAnsi="TimesNewRomanPSMT" w:cs="TimesNewRomanPSMT"/>
        </w:rPr>
        <w:t>Dz.U</w:t>
      </w:r>
      <w:proofErr w:type="spellEnd"/>
      <w:r w:rsidRPr="006421CD">
        <w:rPr>
          <w:rFonts w:ascii="TimesNewRomanPSMT" w:hAnsi="TimesNewRomanPSMT" w:cs="TimesNewRomanPSMT"/>
        </w:rPr>
        <w:t xml:space="preserve">. z 2019 r. poz. 2549 z </w:t>
      </w:r>
      <w:proofErr w:type="spellStart"/>
      <w:r w:rsidRPr="006421CD">
        <w:rPr>
          <w:rFonts w:ascii="TimesNewRomanPSMT" w:hAnsi="TimesNewRomanPSMT" w:cs="TimesNewRomanPSMT"/>
        </w:rPr>
        <w:t>późn</w:t>
      </w:r>
      <w:proofErr w:type="spellEnd"/>
      <w:r w:rsidRPr="006421CD">
        <w:rPr>
          <w:rFonts w:ascii="TimesNewRomanPSMT" w:hAnsi="TimesNewRomanPSMT" w:cs="TimesNewRomanPSMT"/>
        </w:rPr>
        <w:t>. zm.), w szczególności w zakresie zakazu stosowania w konstrukcji kotłów rusztu awaryjnego.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Kotły na paliwa ciekłe i gazowe muszą spełniać w odniesieniu do ogrzewania pomieszczeń wymagania klasy efektywności energetycznej minimum A, określone w Rozporządzeniu delegowanym Komisji (UE) NR 811/2013 z dnia 18 lutego 2013 r., oraz w Rozporządzeniu Parlamentu Europejskiego i Rady (UE)2017/1369 z dnia 4 lipca 2017 </w:t>
      </w:r>
      <w:proofErr w:type="spellStart"/>
      <w:r>
        <w:rPr>
          <w:rFonts w:ascii="TimesNewRomanPSMT" w:hAnsi="TimesNewRomanPSMT" w:cs="TimesNewRomanPSMT"/>
        </w:rPr>
        <w:t>r</w:t>
      </w:r>
      <w:proofErr w:type="spellEnd"/>
      <w:r>
        <w:rPr>
          <w:rFonts w:ascii="TimesNewRomanPSMT" w:hAnsi="TimesNewRomanPSMT" w:cs="TimesNewRomanPSMT"/>
        </w:rPr>
        <w:t xml:space="preserve"> ustanawiającym ramy etykietowania energetycznego i uchylającym dyrektywę 2010/30/UE.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Wymagania, o których mowa w ust. 3 i 4 muszą zostać udokumentowane w formie:</w:t>
      </w:r>
    </w:p>
    <w:p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etykiety efektywności energetycznej,</w:t>
      </w:r>
    </w:p>
    <w:p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wyciągu z dokumentacji techniczno - ruchowej,</w:t>
      </w:r>
    </w:p>
    <w:p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deklaracji zgodności;</w:t>
      </w:r>
    </w:p>
    <w:p w:rsidR="006421CD" w:rsidRPr="006421CD" w:rsidRDefault="006421CD" w:rsidP="00181E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421CD">
        <w:rPr>
          <w:rFonts w:ascii="TimesNewRomanPSMT" w:hAnsi="TimesNewRomanPSMT" w:cs="TimesNewRomanPSMT"/>
        </w:rPr>
        <w:t>posiadać certyfikat CE.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Moc nowego źródła ciepła musi odpowiadać aktualnemu zapotrzebowaniu budynku na ciepło.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Instalacja musi być wykonana zgodnie z obowiązującymi przepisami prawa oraz wymaganiami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producenta. W szczególności ustawą Prawo budowlane, ustawą Prawo energetyczne, polskimi normami.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Wykonawca instalacji powinien posiadać wymagane przepisami uprawnienia do wykonania montażu.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Program nie dotyczy budynków wykorzystywanych sezonowo np.: domów letniskowych oraz montażu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przenośnych urządzeń grzewczych.</w:t>
      </w:r>
    </w:p>
    <w:p w:rsidR="006421CD" w:rsidRPr="00DD480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10. Kosztem kwalifikowanym jest </w:t>
      </w:r>
      <w:r>
        <w:rPr>
          <w:rFonts w:ascii="TimesNewRomanPS-BoldMT" w:hAnsi="TimesNewRomanPS-BoldMT" w:cs="TimesNewRomanPS-BoldMT"/>
          <w:b/>
          <w:bCs/>
        </w:rPr>
        <w:t>zakup, montaż i uruchomienie nowego źródła ciepła spełniającego</w:t>
      </w:r>
      <w:r w:rsidR="00DD480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wymagania określone w ust. 3 i 4 </w:t>
      </w:r>
      <w:r>
        <w:rPr>
          <w:rFonts w:ascii="TimesNewRomanPSMT" w:hAnsi="TimesNewRomanPSMT" w:cs="TimesNewRomanPSMT"/>
        </w:rPr>
        <w:t>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Koszty kwalifikowane stanowią koszty poniesione przez Beneficjenta po zawarciu umowy.</w:t>
      </w:r>
    </w:p>
    <w:p w:rsidR="00DD480D" w:rsidRDefault="00DD480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1. Wsparcie finansowe na zakup, montaż i uruchomienie nowego źródła ciepła następować będzie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budżetu gminy w formie dotacji celowej przewidzianej w ustawie z dnia 27 sierpnia 2009 r. o finansach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publicznych, na finansowanie lub dofinansowanie kosztów inwestycji podmiotów niezaliczonych do sektora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finansów publicznych.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Beneficjentami Programu mogą być osoby fizyczne będące właścicielami lub współwłaścicielami nieruchomości, stanowiących budynek mieszkalny jednorodzinny lub lokal</w:t>
      </w:r>
      <w:r w:rsidR="00181E25">
        <w:rPr>
          <w:rFonts w:ascii="TimesNewRomanPSMT" w:hAnsi="TimesNewRomanPSMT" w:cs="TimesNewRomanPSMT"/>
        </w:rPr>
        <w:t xml:space="preserve"> mieszkalny, </w:t>
      </w:r>
      <w:r>
        <w:rPr>
          <w:rFonts w:ascii="TimesNewRomanPSMT" w:hAnsi="TimesNewRomanPSMT" w:cs="TimesNewRomanPSMT"/>
        </w:rPr>
        <w:t>wykorzystywany w całości na własne potrzeby mieszkaniowe.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Współwłaściciel może skorzystać z dofinansowania po przedłożeniu </w:t>
      </w:r>
      <w:proofErr w:type="spellStart"/>
      <w:r>
        <w:rPr>
          <w:rFonts w:ascii="TimesNewRomanPSMT" w:hAnsi="TimesNewRomanPSMT" w:cs="TimesNewRomanPSMT"/>
        </w:rPr>
        <w:t>zgód</w:t>
      </w:r>
      <w:proofErr w:type="spellEnd"/>
      <w:r>
        <w:rPr>
          <w:rFonts w:ascii="TimesNewRomanPSMT" w:hAnsi="TimesNewRomanPSMT" w:cs="TimesNewRomanPSMT"/>
        </w:rPr>
        <w:t xml:space="preserve"> pozostałych współwłaścicieli w tym przypadku do wniosku należy dołączyć również oświadczenia o wyrażeniu zgody na wypłacenie dotacji współwłaścicielowi składającemu wniosek o dotację, współmałżonkowie składają wspólny wniosek.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 Dotacja jest przyznawana na pokrycie kosztów kwalifikowanych i nie obejmuje kosztów wykonania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dokumentacji, wykonania instalacji wewnętrznej i wykonania przyłączy.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Warunkiem ubiegania się o dofinansowanie jest złożenie przez wnioskodawcę wniosku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udzielenie dotacji w okresie trwania naboru. Wzór wniosku o udzielenie dotacji celowej stanowi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Nr 1 do Zasad. Do wniosku wnioskodawca dołącza oświadczenie o prawie do budynku mieszkalnego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lub lokalu mieszkalnego na formularzu stanowiącym załącznik Nr 2 do zasad.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Dotacje udzielane będą do wyczerpania środków finansowych przeznaczonych na ten cel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roku budżetowym.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Beneficjent we własnym zakresie i na własną odpowiedzialność dokonuje wyboru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wykonawcy który wykona montaż i dobór nowego źródła ciepła oraz zapewni realizację wymiany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źródła ciepła zgodnie z przepisami prawa.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Dotacja nie przysługuje, jeżeli w budynku obok ogrzewania źródła ciepła zasilanego paliwem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stałym istnieje źródło ciepła opisane w §2.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Źródła finansowania i wysokość dotacji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1. Finansowanie zakupu, montażu i uruchomienie nowego źródła ciepła następować będzie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budżetu gminy 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Pr="00181E25">
        <w:rPr>
          <w:rFonts w:ascii="TimesNewRomanPSMT" w:hAnsi="TimesNewRomanPSMT" w:cs="TimesNewRomanPSMT"/>
          <w:u w:val="single"/>
        </w:rPr>
        <w:t>. Dotacja w/w udzielana będzie w wysokości 3 000,00 zł.</w:t>
      </w:r>
      <w:r>
        <w:rPr>
          <w:rFonts w:ascii="TimesNewRomanPSMT" w:hAnsi="TimesNewRomanPSMT" w:cs="TimesNewRomanPSMT"/>
        </w:rPr>
        <w:t xml:space="preserve"> niezależnie od ostatecznego kosztu wykonania,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tj. zakupu, montażu i uruchomienia nowego źródła ciepła.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Nabór wniosków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1. Wniosek o udzielenie dotacji będzie do pobrania ze strony BIP Gminy Chełmża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zakładka druki do pobrania, ochrona środowiska.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Ogłoszenie o naborze zamieszczone będzie na stronie internetowej Gminy Chełmża.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Nabór wniosków prowadzony będzie w terminach określonych przez Wójta Gminy. Termin naboru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podany zostanie do publicznej wiadomości na stronie internetowej w Biuletynie Informacji Publicznej Gminy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Chełmża i na tablicy ogłoszeń w Urzędzie Gminy Chełmża.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Wnioski o przyznanie dotacji złożone po terminie zostaną pozostawione bez rozpatrzenia.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Złożenie wniosku nie jest tożsame z otrzymaniem dofinansowania.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przypadku stwierdzenia błędów formalnych dopuszcza się możliwość jednokrotnej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poprawy/ uzupełnienia wniosku przez wnioskodawcę w terminie 3 dni roboczych od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powiadomienia. Po bezskutecznym upływie terminu do uzupełnienia, wniosek zostanie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pozostawiony bez rozpatrzenia.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Wniosek oceniony negatywnie podlega odrzuceniu.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Po upływie terminu naboru, wnioski zostaną poddane weryfikacji formalnej.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Jeżeli kwota przeznaczona na dotacje nie wystarczy na udzielenie dotacji każdemu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wnioskodawcy, w celu zapewnienia wnioskodawcom równych szans wybór beneficjentów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dokonywany będzie w </w:t>
      </w:r>
      <w:r>
        <w:rPr>
          <w:rFonts w:ascii="TimesNewRomanPSMT" w:hAnsi="TimesNewRomanPSMT" w:cs="TimesNewRomanPSMT"/>
        </w:rPr>
        <w:lastRenderedPageBreak/>
        <w:t>losowaniu. Miejsce i termin losowania zostanie podane do publicznej wiadomości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poprzez ogłoszenie zamieszczone na stronie internetowej Gminy Chełmża.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Rozliczenie dotacji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1. Kompletny wniosek po jego zweryfikowaniu stanowi podstawę do zawarcia umowy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przyznaniu dotacji.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Beneficjent umożliwi dostęp do nieruchomości w celu przeprowadzenia oględzin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polegających na stwierdzeniu zgodności stanu faktycznego ze stanem deklarowanym we wniosku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 rozpoczęciem inwestycji oraz po jej zakończeniu. Oględziny przeprowadzone będą przez osoby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upoważnione przez Wójta Gminy Chełmża w terminie umówionym z Beneficjentem w godzinach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pracy Urzędu Gminy.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Beneficjent (dotowany), któremu przyznano dotację zobowiązany jest do realizacji</w:t>
      </w:r>
      <w:r w:rsidR="00181E2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przedsięwzięcia w czasie umożliwiającym jego terminowe zakończenie i rozliczenie.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Zakup, montaż i uruchomienie źródła ciepła przez Beneficjenta powinien nastąpić do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31 października roku w którym została zawarta umowa o udzielenie dotacji.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Beneficjent będzie ponosił pełną odpowiedzialność za zakup, montaż i uruchomienie nowego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źródła ciepła oraz osiągnięcie deklarowanych we wniosku celów i efektów ekologicznych.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Wypłata dotacji nastąpi po udokumentowaniu wydatków na zakup, montaż i uruchomienie nowego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źródła ciepła w wysokości określonej w § 4 ust. 2.</w:t>
      </w:r>
    </w:p>
    <w:p w:rsidR="00DD480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Występując o wypłatę dotacji, Beneficjent zobowiązany jest przedłożyć w terminie - do dnia </w:t>
      </w:r>
    </w:p>
    <w:p w:rsidR="006421CD" w:rsidRPr="00DD480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31</w:t>
      </w:r>
      <w:r w:rsidR="00DD480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października roku w którym została zawarta umowa o udzielenie dotacji</w:t>
      </w:r>
      <w:r>
        <w:rPr>
          <w:rFonts w:ascii="TimesNewRomanPSMT" w:hAnsi="TimesNewRomanPSMT" w:cs="TimesNewRomanPSMT"/>
        </w:rPr>
        <w:t>: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sprawozdanie merytoryczno - finansowe z zakupu, montażu i uruchomienia nowego źródła ciepła -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Nr 3 do Zasad wraz z załącznikiem;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oświadczenie, że prace zostały przeprowadzone prawidłowo, zgodnie z zasadami itd.- załącznik Nr 4 do Zasad;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protokół odbioru końcowego od wykonawcy/ instalatora (zawierający zapis, że zdemontowano stare źródło ciepła).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1. Beneficjent, który nie poniósł wydatków na zakup, montaż i uruchomienie nowego źródła ciepła zgodnie z umową, nie zakończył i nie rozliczył się z montażu w terminie określonym w § 6 ust. 4 nie otrzyma dotacji.</w:t>
      </w:r>
    </w:p>
    <w:p w:rsidR="006421CD" w:rsidRDefault="006421CD" w:rsidP="00181E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Dotacja na zakup, montaż i uruchomienie nowego źródła ciepła może zostać udzielona tylko raz</w:t>
      </w:r>
    </w:p>
    <w:p w:rsidR="00B05B22" w:rsidRDefault="006421CD" w:rsidP="00181E25">
      <w:pPr>
        <w:spacing w:line="360" w:lineRule="auto"/>
        <w:jc w:val="both"/>
      </w:pPr>
      <w:r>
        <w:rPr>
          <w:rFonts w:ascii="TimesNewRomanPSMT" w:hAnsi="TimesNewRomanPSMT" w:cs="TimesNewRomanPSMT"/>
        </w:rPr>
        <w:t>niezależnie od dokonanych później podziałów i wybudowania nowych budynków.</w:t>
      </w:r>
    </w:p>
    <w:sectPr w:rsidR="00B05B22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00D"/>
    <w:multiLevelType w:val="hybridMultilevel"/>
    <w:tmpl w:val="60ECC3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F603D0"/>
    <w:multiLevelType w:val="hybridMultilevel"/>
    <w:tmpl w:val="DCF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7973"/>
    <w:multiLevelType w:val="hybridMultilevel"/>
    <w:tmpl w:val="6666BA00"/>
    <w:lvl w:ilvl="0" w:tplc="C51C4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862CB"/>
    <w:multiLevelType w:val="hybridMultilevel"/>
    <w:tmpl w:val="2314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1CD"/>
    <w:rsid w:val="00181E25"/>
    <w:rsid w:val="006421CD"/>
    <w:rsid w:val="00B05B22"/>
    <w:rsid w:val="00D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stazysta-pir2</cp:lastModifiedBy>
  <cp:revision>1</cp:revision>
  <dcterms:created xsi:type="dcterms:W3CDTF">2020-07-29T09:30:00Z</dcterms:created>
  <dcterms:modified xsi:type="dcterms:W3CDTF">2020-07-29T09:52:00Z</dcterms:modified>
</cp:coreProperties>
</file>