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A0754" w14:textId="415B2133" w:rsidR="00CE656C" w:rsidRPr="001B2D17" w:rsidRDefault="00617E4C" w:rsidP="00B47133">
      <w:pPr>
        <w:shd w:val="clear" w:color="auto" w:fill="FFFFFF"/>
        <w:spacing w:before="100" w:beforeAutospacing="1" w:after="480" w:line="240" w:lineRule="auto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7F60BA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Chełmża, </w:t>
      </w:r>
      <w:r w:rsidRPr="007F60BA">
        <w:rPr>
          <w:rFonts w:asciiTheme="majorHAnsi" w:eastAsia="Times New Roman" w:hAnsiTheme="majorHAnsi" w:cs="Times New Roman"/>
          <w:sz w:val="24"/>
          <w:szCs w:val="24"/>
          <w:lang w:eastAsia="pl-PL"/>
        </w:rPr>
        <w:t>dnia</w:t>
      </w:r>
      <w:r w:rsidR="003721CC" w:rsidRPr="007F60B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86175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12</w:t>
      </w:r>
      <w:r w:rsidR="003437E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lipca 2021</w:t>
      </w:r>
    </w:p>
    <w:p w14:paraId="5DBC6113" w14:textId="43C83D15" w:rsidR="00617E4C" w:rsidRPr="003C00E3" w:rsidRDefault="00FA27D3" w:rsidP="00CE656C">
      <w:pPr>
        <w:pStyle w:val="Nagwek1"/>
        <w:shd w:val="clear" w:color="auto" w:fill="F2F2F2" w:themeFill="background1" w:themeFillShade="F2"/>
        <w:rPr>
          <w:rFonts w:eastAsia="Times New Roman"/>
          <w:sz w:val="44"/>
          <w:szCs w:val="44"/>
          <w:u w:val="single"/>
          <w:lang w:eastAsia="pl-PL"/>
        </w:rPr>
      </w:pPr>
      <w:r w:rsidRPr="003C00E3">
        <w:rPr>
          <w:rFonts w:eastAsia="Times New Roman"/>
          <w:sz w:val="44"/>
          <w:szCs w:val="44"/>
          <w:u w:val="single"/>
          <w:lang w:eastAsia="pl-PL"/>
        </w:rPr>
        <w:t>Zapytanie ofertowe</w:t>
      </w:r>
      <w:r w:rsidR="001B2D17" w:rsidRPr="003C00E3">
        <w:rPr>
          <w:rFonts w:eastAsia="Times New Roman"/>
          <w:sz w:val="44"/>
          <w:szCs w:val="44"/>
          <w:u w:val="single"/>
          <w:lang w:eastAsia="pl-PL"/>
        </w:rPr>
        <w:t xml:space="preserve"> (</w:t>
      </w:r>
      <w:r w:rsidRPr="003C00E3">
        <w:rPr>
          <w:rFonts w:eastAsia="Times New Roman"/>
          <w:sz w:val="44"/>
          <w:szCs w:val="44"/>
          <w:u w:val="single"/>
          <w:lang w:eastAsia="pl-PL"/>
        </w:rPr>
        <w:t>Ogłoszenie o zamówieniu</w:t>
      </w:r>
      <w:r w:rsidR="001B2D17" w:rsidRPr="003C00E3">
        <w:rPr>
          <w:rFonts w:eastAsia="Times New Roman"/>
          <w:sz w:val="44"/>
          <w:szCs w:val="44"/>
          <w:u w:val="single"/>
          <w:lang w:eastAsia="pl-PL"/>
        </w:rPr>
        <w:t>)</w:t>
      </w:r>
    </w:p>
    <w:p w14:paraId="1EE50B64" w14:textId="6A7249A2" w:rsidR="00617E4C" w:rsidRPr="00CE656C" w:rsidRDefault="00617E4C" w:rsidP="00617E4C">
      <w:pPr>
        <w:shd w:val="clear" w:color="auto" w:fill="FFFFFF"/>
        <w:spacing w:before="100" w:beforeAutospacing="1" w:after="48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Zamówienie publiczne o wartości szacunkowej nieprzekraczającej kwoty 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1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30000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,00 zł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prowadzone 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oparciu o art. 2 ust. 1 pkt 1 ustawy z dnia 11 września 2019 r. Prawo zamówień publicznych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Dz.U. 20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21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poz. 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1129</w:t>
      </w:r>
      <w:r w:rsidR="00AD7DD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050E5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 późn. zm.).</w:t>
      </w:r>
    </w:p>
    <w:p w14:paraId="1C0F464E" w14:textId="2F68299A" w:rsidR="004A15B8" w:rsidRPr="00CE656C" w:rsidRDefault="00617E4C" w:rsidP="00D0147D">
      <w:pPr>
        <w:shd w:val="clear" w:color="auto" w:fill="FFFFFF"/>
        <w:spacing w:before="100" w:beforeAutospacing="1" w:after="48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związku z planowaną realizacją zadania</w:t>
      </w:r>
      <w:r w:rsidR="003437E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pn.: „</w:t>
      </w:r>
      <w:r w:rsidR="000B3ABB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Posiłek w szkole i w domu</w:t>
      </w:r>
      <w:r w:rsidR="003437E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”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Wójt Gminy</w:t>
      </w:r>
      <w:r w:rsidR="003437E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Chełmż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</w:t>
      </w:r>
      <w:r w:rsidR="003437E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zaprasza do złożenia oferty </w:t>
      </w:r>
      <w:r w:rsidR="003437E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cenowej na </w:t>
      </w:r>
      <w:r w:rsidR="00A2453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dostawę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niezbędnego wyposażenia stanowisk sporządzania potraw, obróbki wstępnej i cieplnej, stanowiska mycia naczyń</w:t>
      </w:r>
      <w:r w:rsidR="00A2453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dla Szkoły Podstawowej im. Władysława Broniewskiego w Zelgnie</w:t>
      </w:r>
      <w:r w:rsidR="004A15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. </w:t>
      </w:r>
    </w:p>
    <w:p w14:paraId="056308D0" w14:textId="760211EA" w:rsidR="004A15B8" w:rsidRPr="00CE656C" w:rsidRDefault="004A15B8" w:rsidP="00617E4C">
      <w:pPr>
        <w:shd w:val="clear" w:color="auto" w:fill="FFFFFF"/>
        <w:spacing w:before="100" w:beforeAutospacing="1" w:after="48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Przedmiotowe zamówienie jest realizowane z wsparciem finansowym pochodzącym ze środków budżetu państwa w ramach realizacji wieloletniego rządowego programu „Posiłek w szkole i w domu” na lata 2019-2023 w </w:t>
      </w:r>
      <w:r w:rsidR="00777977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zakresie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doposażeni</w:t>
      </w:r>
      <w:r w:rsidR="00777977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a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i popraw</w:t>
      </w:r>
      <w:r w:rsidR="00777977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y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standardu obecnie funkcjonującej stołówki szkolnej (własnej kuchni i jadalni). </w:t>
      </w:r>
    </w:p>
    <w:p w14:paraId="24D4B0B6" w14:textId="77777777" w:rsidR="00617E4C" w:rsidRPr="001B2D17" w:rsidRDefault="00617E4C" w:rsidP="007105B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I. Zamawiający</w:t>
      </w:r>
    </w:p>
    <w:p w14:paraId="1197CACC" w14:textId="0A4E04C3" w:rsidR="00617E4C" w:rsidRPr="00CE656C" w:rsidRDefault="001D4508" w:rsidP="001D45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</w:t>
      </w:r>
      <w:r w:rsidR="00617E4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azwa: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</w:r>
      <w:r w:rsidR="003437E0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Gmina Chełmża</w:t>
      </w:r>
    </w:p>
    <w:p w14:paraId="57AF30C9" w14:textId="77777777" w:rsidR="00A24531" w:rsidRPr="00CE656C" w:rsidRDefault="00617E4C" w:rsidP="001D45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 xml:space="preserve">Adres:  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3437E0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 xml:space="preserve">ul. </w:t>
      </w:r>
      <w:r w:rsidR="00A24531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Wodna</w:t>
      </w:r>
      <w:r w:rsidR="003437E0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 xml:space="preserve"> 2</w:t>
      </w:r>
    </w:p>
    <w:p w14:paraId="074BBA9F" w14:textId="3E4AD3E1" w:rsidR="00617E4C" w:rsidRPr="00CE656C" w:rsidRDefault="001D4508" w:rsidP="00A24531">
      <w:pPr>
        <w:shd w:val="clear" w:color="auto" w:fill="FFFFFF"/>
        <w:spacing w:after="0" w:line="240" w:lineRule="auto"/>
        <w:ind w:left="1416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87-140 Chełmża</w:t>
      </w:r>
    </w:p>
    <w:p w14:paraId="7F431650" w14:textId="240814EA" w:rsidR="00617E4C" w:rsidRPr="00CE656C" w:rsidRDefault="00617E4C" w:rsidP="001D45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NIP: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A24531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879-24-58-798</w:t>
      </w:r>
    </w:p>
    <w:p w14:paraId="30A59031" w14:textId="2BC8617B" w:rsidR="001D4508" w:rsidRPr="00CE656C" w:rsidRDefault="00617E4C" w:rsidP="001D450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REGON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:</w:t>
      </w:r>
      <w:r w:rsidR="001D450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ab/>
      </w:r>
      <w:r w:rsidR="00A24531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871118709</w:t>
      </w:r>
    </w:p>
    <w:p w14:paraId="598B3A69" w14:textId="77777777" w:rsidR="0014116A" w:rsidRPr="00CE656C" w:rsidRDefault="00E97D58" w:rsidP="001D4508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 w:rsidRPr="00CE656C">
        <w:rPr>
          <w:rFonts w:asciiTheme="majorHAnsi" w:eastAsia="Times New Roman" w:hAnsiTheme="majorHAnsi" w:cstheme="majorHAnsi"/>
          <w:color w:val="000000" w:themeColor="text1"/>
          <w:sz w:val="25"/>
          <w:szCs w:val="25"/>
          <w:lang w:eastAsia="pl-PL"/>
        </w:rPr>
        <w:t>Strona www:</w:t>
      </w:r>
      <w:r w:rsidRPr="00CE656C">
        <w:rPr>
          <w:rFonts w:asciiTheme="majorHAnsi" w:eastAsia="Times New Roman" w:hAnsiTheme="majorHAnsi" w:cstheme="majorHAnsi"/>
          <w:color w:val="C00000"/>
          <w:sz w:val="25"/>
          <w:szCs w:val="25"/>
          <w:lang w:eastAsia="pl-PL"/>
        </w:rPr>
        <w:tab/>
      </w:r>
      <w:hyperlink r:id="rId8" w:history="1">
        <w:r w:rsidR="00A24531" w:rsidRPr="00CE656C">
          <w:rPr>
            <w:rStyle w:val="Hipercze"/>
            <w:rFonts w:asciiTheme="majorHAnsi" w:hAnsiTheme="majorHAnsi"/>
            <w:sz w:val="25"/>
            <w:szCs w:val="25"/>
          </w:rPr>
          <w:t>https://www.bip.gminachelmza.pl/9764,zapytania-ofertowe</w:t>
        </w:r>
      </w:hyperlink>
      <w:r w:rsidR="00A24531" w:rsidRPr="00CE656C">
        <w:rPr>
          <w:rFonts w:asciiTheme="majorHAnsi" w:hAnsiTheme="majorHAnsi"/>
          <w:sz w:val="25"/>
          <w:szCs w:val="25"/>
        </w:rPr>
        <w:t xml:space="preserve"> </w:t>
      </w:r>
    </w:p>
    <w:p w14:paraId="0A06181C" w14:textId="49BFAE36" w:rsidR="00E97D58" w:rsidRPr="00CE656C" w:rsidRDefault="0014116A" w:rsidP="0014116A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hAnsiTheme="majorHAnsi" w:cstheme="majorHAnsi"/>
          <w:sz w:val="25"/>
          <w:szCs w:val="25"/>
        </w:rPr>
      </w:pPr>
      <w:r w:rsidRPr="00CE656C">
        <w:rPr>
          <w:rFonts w:asciiTheme="majorHAnsi" w:hAnsiTheme="majorHAnsi"/>
          <w:sz w:val="25"/>
          <w:szCs w:val="25"/>
        </w:rPr>
        <w:t>(</w:t>
      </w:r>
      <w:r w:rsidRPr="00CE656C">
        <w:rPr>
          <w:rFonts w:asciiTheme="majorHAnsi" w:hAnsiTheme="majorHAnsi"/>
          <w:i/>
          <w:iCs/>
          <w:sz w:val="25"/>
          <w:szCs w:val="25"/>
        </w:rPr>
        <w:t>strona prowadzonego postępowania</w:t>
      </w:r>
      <w:r w:rsidRPr="00CE656C">
        <w:rPr>
          <w:rFonts w:asciiTheme="majorHAnsi" w:hAnsiTheme="majorHAnsi"/>
          <w:sz w:val="25"/>
          <w:szCs w:val="25"/>
        </w:rPr>
        <w:t xml:space="preserve">) </w:t>
      </w:r>
    </w:p>
    <w:p w14:paraId="5A891035" w14:textId="573F983F" w:rsidR="00A24531" w:rsidRDefault="00A24531" w:rsidP="001D4508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EE451D" w14:textId="77777777" w:rsidR="00617E4C" w:rsidRPr="001B2D17" w:rsidRDefault="00617E4C" w:rsidP="001D4508">
      <w:pPr>
        <w:pStyle w:val="Nagwek2"/>
        <w:spacing w:before="0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II. Opis Przedmiotu zamówienia</w:t>
      </w:r>
    </w:p>
    <w:p w14:paraId="66E0F82A" w14:textId="03DE2BFD" w:rsidR="00506EBD" w:rsidRPr="00CE656C" w:rsidRDefault="003437E0" w:rsidP="00506E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Przedmiotem zamówienia jest </w:t>
      </w:r>
      <w:r w:rsidR="00D0147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dostawa niezbędnego wyposażenia stanowisk sporządzania potraw, obróbki wstępnej i cieplnej, stanowiska mycia naczyń dla Szkoły Podstawowej im. Władysława Broniewskiego w Zelgnie, zgodnie z warunkami określonymi w niniejszym zapytaniu ofertowym (ogłoszeniu o zamówieniu) wraz z załącznikami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. 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Szczegółowy opis przedmiotu zamówienia zawiera</w:t>
      </w:r>
      <w:r w:rsidR="00D444B4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 m. in.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: </w:t>
      </w:r>
      <w:r w:rsidR="00B76346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niniejsze zapytanie ofertowe, 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wzór umowy</w:t>
      </w:r>
      <w:r w:rsidR="003C00E3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.</w:t>
      </w:r>
    </w:p>
    <w:p w14:paraId="6C85E6C7" w14:textId="67F34AD7" w:rsidR="00FA27D3" w:rsidRPr="00CE656C" w:rsidRDefault="00FA27D3" w:rsidP="008C16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7B8AFF55" w14:textId="40F80161" w:rsidR="00FA27D3" w:rsidRPr="00CE656C" w:rsidRDefault="00FA27D3" w:rsidP="008C16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Zakres zamówienia obejmuje w szczególności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47EA4879" w14:textId="5F1C3195" w:rsidR="00FA27D3" w:rsidRPr="00CE656C" w:rsidRDefault="00FA27D3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- przygotowanie projektu wstępnego ustawienia kuchni,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po dokonaniu pomiarów z natury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(projektu instalacji elektrycznej i wodno- kanalizacyjnej),</w:t>
      </w:r>
    </w:p>
    <w:p w14:paraId="01EB2500" w14:textId="426F7A18" w:rsidR="00FA27D3" w:rsidRPr="00CE656C" w:rsidRDefault="00FA27D3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 dostawę pełnego zakresu przedmiotu zamówienia wraz z transportem</w:t>
      </w:r>
      <w:r w:rsidR="00DF26B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(gwarantującym bezusterkową dostawę)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</w:p>
    <w:p w14:paraId="34F718B7" w14:textId="761C80E4" w:rsidR="00FA27D3" w:rsidRPr="00CE656C" w:rsidRDefault="00FA27D3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 załadunek, rozładunek, wniesienie, rozmieszczenie i montaż urządzeń,</w:t>
      </w:r>
    </w:p>
    <w:p w14:paraId="067BE24D" w14:textId="1A396ED6" w:rsidR="00FA27D3" w:rsidRPr="00CE656C" w:rsidRDefault="00FA27D3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- uruchomienie urządzeń,</w:t>
      </w:r>
    </w:p>
    <w:p w14:paraId="59A568D5" w14:textId="7FF1A264" w:rsidR="00FA27D3" w:rsidRPr="00CE656C" w:rsidRDefault="00FA27D3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 przeszkolenie personelu w obsłudze dostarczonych urządzeń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73EFD721" w14:textId="206521B2" w:rsidR="007A1E7E" w:rsidRPr="00CE656C" w:rsidRDefault="007A1E7E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183494BB" w14:textId="33AC9CC9" w:rsidR="007A1E7E" w:rsidRPr="00CE656C" w:rsidRDefault="00603E6B" w:rsidP="00FA27D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Wykaz wyposażenia wraz z </w:t>
      </w:r>
      <w:r w:rsidR="0089641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minimalnymi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wymagania</w:t>
      </w:r>
      <w:r w:rsidR="0089641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mi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Zmawiającego: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599"/>
        <w:gridCol w:w="1118"/>
        <w:gridCol w:w="829"/>
        <w:gridCol w:w="2966"/>
      </w:tblGrid>
      <w:tr w:rsidR="006226D0" w:rsidRPr="00672E84" w14:paraId="7560AB5A" w14:textId="77777777" w:rsidTr="00CE656C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EFA2C69" w14:textId="77777777" w:rsidR="006226D0" w:rsidRPr="00672E84" w:rsidRDefault="006226D0" w:rsidP="0052176A">
            <w:pPr>
              <w:jc w:val="center"/>
              <w:rPr>
                <w:b/>
                <w:bCs/>
              </w:rPr>
            </w:pPr>
            <w:r w:rsidRPr="00672E84">
              <w:rPr>
                <w:b/>
                <w:bCs/>
              </w:rPr>
              <w:t>L.p.</w:t>
            </w:r>
          </w:p>
        </w:tc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4E867A02" w14:textId="77777777" w:rsidR="006226D0" w:rsidRPr="00672E84" w:rsidRDefault="006226D0" w:rsidP="0052176A">
            <w:pPr>
              <w:jc w:val="center"/>
              <w:rPr>
                <w:b/>
                <w:bCs/>
              </w:rPr>
            </w:pPr>
            <w:r w:rsidRPr="00672E84">
              <w:rPr>
                <w:b/>
                <w:bCs/>
              </w:rPr>
              <w:t>Rodzaj planowanego wyposażenia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18036B9B" w14:textId="77777777" w:rsidR="006226D0" w:rsidRPr="00672E84" w:rsidRDefault="006226D0" w:rsidP="0052176A">
            <w:pPr>
              <w:jc w:val="center"/>
              <w:rPr>
                <w:b/>
                <w:bCs/>
              </w:rPr>
            </w:pPr>
            <w:r w:rsidRPr="00672E84">
              <w:rPr>
                <w:b/>
                <w:bCs/>
              </w:rPr>
              <w:t>Liczba jednostek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5643DAB8" w14:textId="77777777" w:rsidR="006226D0" w:rsidRPr="00672E84" w:rsidRDefault="006226D0" w:rsidP="0052176A">
            <w:pPr>
              <w:jc w:val="center"/>
              <w:rPr>
                <w:b/>
                <w:bCs/>
              </w:rPr>
            </w:pPr>
            <w:r w:rsidRPr="00672E84">
              <w:rPr>
                <w:b/>
                <w:bCs/>
              </w:rPr>
              <w:t>Rodzaj miary</w:t>
            </w:r>
          </w:p>
        </w:tc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042AB4A4" w14:textId="6D860374" w:rsidR="006226D0" w:rsidRPr="00672E84" w:rsidRDefault="006226D0" w:rsidP="0052176A">
            <w:pPr>
              <w:jc w:val="center"/>
              <w:rPr>
                <w:b/>
                <w:bCs/>
              </w:rPr>
            </w:pPr>
            <w:r w:rsidRPr="00672E84">
              <w:rPr>
                <w:b/>
                <w:bCs/>
              </w:rPr>
              <w:t>Uwagi</w:t>
            </w:r>
            <w:r>
              <w:rPr>
                <w:b/>
                <w:bCs/>
              </w:rPr>
              <w:t>/ Parametry</w:t>
            </w:r>
            <w:r w:rsidR="003C00E3">
              <w:rPr>
                <w:b/>
                <w:bCs/>
              </w:rPr>
              <w:t xml:space="preserve"> (w mm, o ile poniżej nie określono inaczej)</w:t>
            </w:r>
            <w:r>
              <w:rPr>
                <w:b/>
                <w:bCs/>
              </w:rPr>
              <w:t>/ Cechy charakterystyczne</w:t>
            </w:r>
          </w:p>
        </w:tc>
      </w:tr>
      <w:tr w:rsidR="006226D0" w14:paraId="09A69FC1" w14:textId="77777777" w:rsidTr="0052176A">
        <w:tc>
          <w:tcPr>
            <w:tcW w:w="561" w:type="dxa"/>
          </w:tcPr>
          <w:p w14:paraId="189A893E" w14:textId="77777777" w:rsidR="006226D0" w:rsidRDefault="006226D0" w:rsidP="0052176A">
            <w:pPr>
              <w:jc w:val="center"/>
            </w:pPr>
            <w:r>
              <w:t>1.</w:t>
            </w:r>
          </w:p>
        </w:tc>
        <w:tc>
          <w:tcPr>
            <w:tcW w:w="3698" w:type="dxa"/>
          </w:tcPr>
          <w:p w14:paraId="7B8FD893" w14:textId="77777777" w:rsidR="006226D0" w:rsidRDefault="006226D0" w:rsidP="0052176A">
            <w:r>
              <w:t>Piec konwekcyjno-parowy</w:t>
            </w:r>
          </w:p>
        </w:tc>
        <w:tc>
          <w:tcPr>
            <w:tcW w:w="1118" w:type="dxa"/>
          </w:tcPr>
          <w:p w14:paraId="5874836D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08E2C88A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7F3404BC" w14:textId="77777777" w:rsidR="006226D0" w:rsidRDefault="006226D0" w:rsidP="0052176A">
            <w:r>
              <w:t>GN 11/11 – 11 półek, 730/785/1130, moc 16KW, 400 V</w:t>
            </w:r>
          </w:p>
        </w:tc>
      </w:tr>
      <w:tr w:rsidR="006226D0" w14:paraId="5B97761B" w14:textId="77777777" w:rsidTr="0052176A">
        <w:tc>
          <w:tcPr>
            <w:tcW w:w="561" w:type="dxa"/>
          </w:tcPr>
          <w:p w14:paraId="584B618A" w14:textId="77777777" w:rsidR="006226D0" w:rsidRDefault="006226D0" w:rsidP="0052176A">
            <w:pPr>
              <w:jc w:val="center"/>
            </w:pPr>
            <w:r>
              <w:t>2.</w:t>
            </w:r>
          </w:p>
        </w:tc>
        <w:tc>
          <w:tcPr>
            <w:tcW w:w="3698" w:type="dxa"/>
          </w:tcPr>
          <w:p w14:paraId="5EE9CE56" w14:textId="77777777" w:rsidR="006226D0" w:rsidRDefault="006226D0" w:rsidP="0052176A">
            <w:r>
              <w:t>Podstawa pod piec</w:t>
            </w:r>
          </w:p>
        </w:tc>
        <w:tc>
          <w:tcPr>
            <w:tcW w:w="1118" w:type="dxa"/>
          </w:tcPr>
          <w:p w14:paraId="4A9DA5F6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1CF4BDB7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741EC5CE" w14:textId="77777777" w:rsidR="006226D0" w:rsidRDefault="006226D0" w:rsidP="0052176A">
            <w:r>
              <w:t>610/540/770</w:t>
            </w:r>
          </w:p>
        </w:tc>
      </w:tr>
      <w:tr w:rsidR="006226D0" w14:paraId="4767E5BC" w14:textId="77777777" w:rsidTr="0052176A">
        <w:tc>
          <w:tcPr>
            <w:tcW w:w="561" w:type="dxa"/>
          </w:tcPr>
          <w:p w14:paraId="5C9AD6D4" w14:textId="77777777" w:rsidR="006226D0" w:rsidRDefault="006226D0" w:rsidP="0052176A">
            <w:pPr>
              <w:jc w:val="center"/>
            </w:pPr>
            <w:r>
              <w:t>3.</w:t>
            </w:r>
          </w:p>
        </w:tc>
        <w:tc>
          <w:tcPr>
            <w:tcW w:w="3698" w:type="dxa"/>
          </w:tcPr>
          <w:p w14:paraId="3B3067DF" w14:textId="77777777" w:rsidR="006226D0" w:rsidRDefault="006226D0" w:rsidP="0052176A">
            <w:r>
              <w:t>Automatyczny uzdatniacz do wody</w:t>
            </w:r>
          </w:p>
        </w:tc>
        <w:tc>
          <w:tcPr>
            <w:tcW w:w="1118" w:type="dxa"/>
          </w:tcPr>
          <w:p w14:paraId="4B0D9C38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642EF1C0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77FD31AE" w14:textId="77777777" w:rsidR="006226D0" w:rsidRDefault="006226D0" w:rsidP="0052176A">
            <w:r>
              <w:t>200/450/550, zasilanie 230 V</w:t>
            </w:r>
          </w:p>
        </w:tc>
      </w:tr>
      <w:tr w:rsidR="006226D0" w14:paraId="548683C8" w14:textId="77777777" w:rsidTr="0052176A">
        <w:tc>
          <w:tcPr>
            <w:tcW w:w="561" w:type="dxa"/>
          </w:tcPr>
          <w:p w14:paraId="77E52B25" w14:textId="77777777" w:rsidR="006226D0" w:rsidRDefault="006226D0" w:rsidP="0052176A">
            <w:pPr>
              <w:jc w:val="center"/>
            </w:pPr>
            <w:r>
              <w:t>4.</w:t>
            </w:r>
          </w:p>
        </w:tc>
        <w:tc>
          <w:tcPr>
            <w:tcW w:w="3698" w:type="dxa"/>
          </w:tcPr>
          <w:p w14:paraId="2DB52015" w14:textId="77777777" w:rsidR="006226D0" w:rsidRDefault="006226D0" w:rsidP="0052176A">
            <w:r>
              <w:t>Zestaw pojemników GN do pieca</w:t>
            </w:r>
          </w:p>
        </w:tc>
        <w:tc>
          <w:tcPr>
            <w:tcW w:w="1118" w:type="dxa"/>
          </w:tcPr>
          <w:p w14:paraId="189C8000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46E74695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318BA004" w14:textId="77777777" w:rsidR="006226D0" w:rsidRDefault="006226D0" w:rsidP="0052176A">
            <w:r>
              <w:t>530/320, 11 szt.</w:t>
            </w:r>
          </w:p>
        </w:tc>
      </w:tr>
      <w:tr w:rsidR="006226D0" w14:paraId="08D3FA9A" w14:textId="77777777" w:rsidTr="0052176A">
        <w:tc>
          <w:tcPr>
            <w:tcW w:w="561" w:type="dxa"/>
          </w:tcPr>
          <w:p w14:paraId="477A70B0" w14:textId="77777777" w:rsidR="006226D0" w:rsidRDefault="006226D0" w:rsidP="0052176A">
            <w:pPr>
              <w:jc w:val="center"/>
            </w:pPr>
            <w:r>
              <w:t>5.</w:t>
            </w:r>
          </w:p>
        </w:tc>
        <w:tc>
          <w:tcPr>
            <w:tcW w:w="3698" w:type="dxa"/>
          </w:tcPr>
          <w:p w14:paraId="3F41F265" w14:textId="77777777" w:rsidR="006226D0" w:rsidRDefault="006226D0" w:rsidP="0052176A">
            <w:r>
              <w:t>Kocioł warzelny</w:t>
            </w:r>
          </w:p>
        </w:tc>
        <w:tc>
          <w:tcPr>
            <w:tcW w:w="1118" w:type="dxa"/>
          </w:tcPr>
          <w:p w14:paraId="5FFCDA17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0247968D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0F674BCF" w14:textId="77777777" w:rsidR="006226D0" w:rsidRDefault="006226D0" w:rsidP="0052176A">
            <w:r>
              <w:t>elektryczny, pojemność 150 l, 900/900/900, moc 18 KW, zasilanie 400 V</w:t>
            </w:r>
          </w:p>
        </w:tc>
      </w:tr>
      <w:tr w:rsidR="006226D0" w14:paraId="5D6F4A71" w14:textId="77777777" w:rsidTr="0052176A">
        <w:tc>
          <w:tcPr>
            <w:tcW w:w="561" w:type="dxa"/>
          </w:tcPr>
          <w:p w14:paraId="4741AB7B" w14:textId="77777777" w:rsidR="006226D0" w:rsidRDefault="006226D0" w:rsidP="0052176A">
            <w:pPr>
              <w:jc w:val="center"/>
            </w:pPr>
            <w:r>
              <w:t>6.</w:t>
            </w:r>
          </w:p>
        </w:tc>
        <w:tc>
          <w:tcPr>
            <w:tcW w:w="3698" w:type="dxa"/>
          </w:tcPr>
          <w:p w14:paraId="3D5C56BD" w14:textId="77777777" w:rsidR="006226D0" w:rsidRDefault="006226D0" w:rsidP="0052176A">
            <w:r>
              <w:t>Taboret gazowy</w:t>
            </w:r>
          </w:p>
        </w:tc>
        <w:tc>
          <w:tcPr>
            <w:tcW w:w="1118" w:type="dxa"/>
          </w:tcPr>
          <w:p w14:paraId="1A786E53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192D1B94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7287C3CB" w14:textId="77777777" w:rsidR="006226D0" w:rsidRDefault="006226D0" w:rsidP="0052176A">
            <w:r>
              <w:t>570/600/380, P/B</w:t>
            </w:r>
          </w:p>
        </w:tc>
      </w:tr>
      <w:tr w:rsidR="006226D0" w14:paraId="7AD65453" w14:textId="77777777" w:rsidTr="0052176A">
        <w:tc>
          <w:tcPr>
            <w:tcW w:w="561" w:type="dxa"/>
          </w:tcPr>
          <w:p w14:paraId="1187A918" w14:textId="77777777" w:rsidR="006226D0" w:rsidRDefault="006226D0" w:rsidP="0052176A">
            <w:pPr>
              <w:jc w:val="center"/>
            </w:pPr>
            <w:r>
              <w:t>7.</w:t>
            </w:r>
          </w:p>
        </w:tc>
        <w:tc>
          <w:tcPr>
            <w:tcW w:w="3698" w:type="dxa"/>
          </w:tcPr>
          <w:p w14:paraId="1C6EC19B" w14:textId="77777777" w:rsidR="006226D0" w:rsidRDefault="006226D0" w:rsidP="0052176A">
            <w:r>
              <w:t>Kuchnia gazowa 6-palnikowa z piekarnikiem elektrycznym</w:t>
            </w:r>
          </w:p>
        </w:tc>
        <w:tc>
          <w:tcPr>
            <w:tcW w:w="1118" w:type="dxa"/>
          </w:tcPr>
          <w:p w14:paraId="60062083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661A2D2F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15445DFC" w14:textId="77777777" w:rsidR="006226D0" w:rsidRDefault="006226D0" w:rsidP="0052176A"/>
        </w:tc>
      </w:tr>
      <w:tr w:rsidR="006226D0" w14:paraId="1B7A6A10" w14:textId="77777777" w:rsidTr="0052176A">
        <w:tc>
          <w:tcPr>
            <w:tcW w:w="561" w:type="dxa"/>
          </w:tcPr>
          <w:p w14:paraId="0B6DF4CF" w14:textId="77777777" w:rsidR="006226D0" w:rsidRDefault="006226D0" w:rsidP="0052176A">
            <w:pPr>
              <w:jc w:val="center"/>
            </w:pPr>
            <w:r>
              <w:t>8.</w:t>
            </w:r>
          </w:p>
        </w:tc>
        <w:tc>
          <w:tcPr>
            <w:tcW w:w="3698" w:type="dxa"/>
          </w:tcPr>
          <w:p w14:paraId="14555808" w14:textId="77777777" w:rsidR="006226D0" w:rsidRDefault="006226D0" w:rsidP="0052176A">
            <w:r>
              <w:t>Szatkownica do warzyw</w:t>
            </w:r>
          </w:p>
        </w:tc>
        <w:tc>
          <w:tcPr>
            <w:tcW w:w="1118" w:type="dxa"/>
          </w:tcPr>
          <w:p w14:paraId="291EF28A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234B647D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1E5AC669" w14:textId="77777777" w:rsidR="006226D0" w:rsidRDefault="006226D0" w:rsidP="0052176A">
            <w:r>
              <w:t>300/350/555, zasilanie 230 V</w:t>
            </w:r>
          </w:p>
        </w:tc>
      </w:tr>
      <w:tr w:rsidR="006226D0" w14:paraId="6DE6F66A" w14:textId="77777777" w:rsidTr="0052176A">
        <w:tc>
          <w:tcPr>
            <w:tcW w:w="561" w:type="dxa"/>
          </w:tcPr>
          <w:p w14:paraId="424398F7" w14:textId="77777777" w:rsidR="006226D0" w:rsidRDefault="006226D0" w:rsidP="0052176A">
            <w:pPr>
              <w:jc w:val="center"/>
            </w:pPr>
            <w:r>
              <w:t>9.</w:t>
            </w:r>
          </w:p>
        </w:tc>
        <w:tc>
          <w:tcPr>
            <w:tcW w:w="3698" w:type="dxa"/>
          </w:tcPr>
          <w:p w14:paraId="36501B91" w14:textId="77777777" w:rsidR="006226D0" w:rsidRDefault="006226D0" w:rsidP="0052176A">
            <w:r>
              <w:t>Zestaw tarcz do szatkownicy</w:t>
            </w:r>
          </w:p>
        </w:tc>
        <w:tc>
          <w:tcPr>
            <w:tcW w:w="1118" w:type="dxa"/>
          </w:tcPr>
          <w:p w14:paraId="3A3E495E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02915DC4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1DC6C7AD" w14:textId="77777777" w:rsidR="006226D0" w:rsidRDefault="006226D0" w:rsidP="0052176A"/>
        </w:tc>
      </w:tr>
      <w:tr w:rsidR="006226D0" w14:paraId="6DF49DDB" w14:textId="77777777" w:rsidTr="0052176A">
        <w:tc>
          <w:tcPr>
            <w:tcW w:w="561" w:type="dxa"/>
          </w:tcPr>
          <w:p w14:paraId="508824B0" w14:textId="77777777" w:rsidR="006226D0" w:rsidRDefault="006226D0" w:rsidP="0052176A">
            <w:pPr>
              <w:jc w:val="center"/>
            </w:pPr>
            <w:r>
              <w:t>10.</w:t>
            </w:r>
          </w:p>
        </w:tc>
        <w:tc>
          <w:tcPr>
            <w:tcW w:w="3698" w:type="dxa"/>
          </w:tcPr>
          <w:p w14:paraId="11F4483C" w14:textId="77777777" w:rsidR="006226D0" w:rsidRDefault="006226D0" w:rsidP="0052176A">
            <w:r>
              <w:t>Mikser ręczny</w:t>
            </w:r>
          </w:p>
        </w:tc>
        <w:tc>
          <w:tcPr>
            <w:tcW w:w="1118" w:type="dxa"/>
          </w:tcPr>
          <w:p w14:paraId="6383E688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562FED36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07AC097C" w14:textId="77777777" w:rsidR="006226D0" w:rsidRDefault="006226D0" w:rsidP="0052176A">
            <w:r>
              <w:t>L450, zasilanie 230 V, do kotła warzelnego, typu blender z uchwytem</w:t>
            </w:r>
          </w:p>
        </w:tc>
      </w:tr>
      <w:tr w:rsidR="006226D0" w14:paraId="39FB5C01" w14:textId="77777777" w:rsidTr="0052176A">
        <w:tc>
          <w:tcPr>
            <w:tcW w:w="561" w:type="dxa"/>
          </w:tcPr>
          <w:p w14:paraId="5C58C328" w14:textId="77777777" w:rsidR="006226D0" w:rsidRDefault="006226D0" w:rsidP="0052176A">
            <w:pPr>
              <w:jc w:val="center"/>
            </w:pPr>
            <w:r>
              <w:t>11.</w:t>
            </w:r>
          </w:p>
        </w:tc>
        <w:tc>
          <w:tcPr>
            <w:tcW w:w="3698" w:type="dxa"/>
          </w:tcPr>
          <w:p w14:paraId="5443C540" w14:textId="77777777" w:rsidR="006226D0" w:rsidRDefault="006226D0" w:rsidP="0052176A">
            <w:r>
              <w:t>Uchwyt do miksera</w:t>
            </w:r>
          </w:p>
        </w:tc>
        <w:tc>
          <w:tcPr>
            <w:tcW w:w="1118" w:type="dxa"/>
          </w:tcPr>
          <w:p w14:paraId="46F2FB6C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72A42989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1EDA5BAA" w14:textId="77777777" w:rsidR="006226D0" w:rsidRDefault="006226D0" w:rsidP="0052176A">
            <w:r>
              <w:t>330/650</w:t>
            </w:r>
          </w:p>
        </w:tc>
      </w:tr>
      <w:tr w:rsidR="006226D0" w14:paraId="6F233BCC" w14:textId="77777777" w:rsidTr="0052176A">
        <w:tc>
          <w:tcPr>
            <w:tcW w:w="561" w:type="dxa"/>
          </w:tcPr>
          <w:p w14:paraId="7B0564A2" w14:textId="77777777" w:rsidR="006226D0" w:rsidRDefault="006226D0" w:rsidP="0052176A">
            <w:pPr>
              <w:jc w:val="center"/>
            </w:pPr>
            <w:r>
              <w:t>12.</w:t>
            </w:r>
          </w:p>
        </w:tc>
        <w:tc>
          <w:tcPr>
            <w:tcW w:w="3698" w:type="dxa"/>
          </w:tcPr>
          <w:p w14:paraId="18F285A1" w14:textId="77777777" w:rsidR="006226D0" w:rsidRDefault="006226D0" w:rsidP="0052176A">
            <w:r>
              <w:t>Szafa przelotowa drzwi skrzydłowe</w:t>
            </w:r>
          </w:p>
        </w:tc>
        <w:tc>
          <w:tcPr>
            <w:tcW w:w="1118" w:type="dxa"/>
          </w:tcPr>
          <w:p w14:paraId="2AFD1ED2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4B943402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0F9C02C7" w14:textId="77777777" w:rsidR="006226D0" w:rsidRDefault="006226D0" w:rsidP="0052176A">
            <w:r>
              <w:t>1200/600/1800, z półką</w:t>
            </w:r>
          </w:p>
        </w:tc>
      </w:tr>
      <w:tr w:rsidR="006226D0" w14:paraId="52C261D1" w14:textId="77777777" w:rsidTr="0052176A">
        <w:tc>
          <w:tcPr>
            <w:tcW w:w="561" w:type="dxa"/>
          </w:tcPr>
          <w:p w14:paraId="35B9E118" w14:textId="77777777" w:rsidR="006226D0" w:rsidRDefault="006226D0" w:rsidP="0052176A">
            <w:pPr>
              <w:jc w:val="center"/>
            </w:pPr>
            <w:r>
              <w:t>13.</w:t>
            </w:r>
          </w:p>
        </w:tc>
        <w:tc>
          <w:tcPr>
            <w:tcW w:w="3698" w:type="dxa"/>
          </w:tcPr>
          <w:p w14:paraId="36FD236C" w14:textId="77777777" w:rsidR="006226D0" w:rsidRDefault="006226D0" w:rsidP="0052176A">
            <w:r>
              <w:t>Okap przyścienny ukośny z łapaczami tłuszczu</w:t>
            </w:r>
          </w:p>
        </w:tc>
        <w:tc>
          <w:tcPr>
            <w:tcW w:w="1118" w:type="dxa"/>
          </w:tcPr>
          <w:p w14:paraId="2844A793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6CDD74DD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06D9208C" w14:textId="77777777" w:rsidR="006226D0" w:rsidRDefault="006226D0" w:rsidP="0052176A">
            <w:r>
              <w:t>4300/1200/450</w:t>
            </w:r>
          </w:p>
        </w:tc>
      </w:tr>
      <w:tr w:rsidR="006226D0" w14:paraId="5C33B6CD" w14:textId="77777777" w:rsidTr="0052176A">
        <w:tc>
          <w:tcPr>
            <w:tcW w:w="561" w:type="dxa"/>
          </w:tcPr>
          <w:p w14:paraId="062F694B" w14:textId="77777777" w:rsidR="006226D0" w:rsidRDefault="006226D0" w:rsidP="0052176A">
            <w:pPr>
              <w:jc w:val="center"/>
            </w:pPr>
            <w:r>
              <w:t>14.</w:t>
            </w:r>
          </w:p>
        </w:tc>
        <w:tc>
          <w:tcPr>
            <w:tcW w:w="3698" w:type="dxa"/>
          </w:tcPr>
          <w:p w14:paraId="63E717F8" w14:textId="77777777" w:rsidR="006226D0" w:rsidRDefault="006226D0" w:rsidP="0052176A">
            <w:r>
              <w:t>Szafka wisząca drzwi skrzydłowe</w:t>
            </w:r>
          </w:p>
        </w:tc>
        <w:tc>
          <w:tcPr>
            <w:tcW w:w="1118" w:type="dxa"/>
          </w:tcPr>
          <w:p w14:paraId="338F6800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1F9598DA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4915964C" w14:textId="77777777" w:rsidR="006226D0" w:rsidRDefault="006226D0" w:rsidP="0052176A">
            <w:r>
              <w:t>800/300/600, z półką</w:t>
            </w:r>
          </w:p>
        </w:tc>
      </w:tr>
      <w:tr w:rsidR="006226D0" w14:paraId="6CE63CE6" w14:textId="77777777" w:rsidTr="0052176A">
        <w:tc>
          <w:tcPr>
            <w:tcW w:w="561" w:type="dxa"/>
          </w:tcPr>
          <w:p w14:paraId="46F8C478" w14:textId="77777777" w:rsidR="006226D0" w:rsidRDefault="006226D0" w:rsidP="0052176A">
            <w:pPr>
              <w:jc w:val="center"/>
            </w:pPr>
            <w:r>
              <w:t>15.</w:t>
            </w:r>
          </w:p>
        </w:tc>
        <w:tc>
          <w:tcPr>
            <w:tcW w:w="3698" w:type="dxa"/>
          </w:tcPr>
          <w:p w14:paraId="5095FBF2" w14:textId="77777777" w:rsidR="006226D0" w:rsidRDefault="006226D0" w:rsidP="0052176A">
            <w:r>
              <w:t>Zmywarka gastronomiczna</w:t>
            </w:r>
          </w:p>
        </w:tc>
        <w:tc>
          <w:tcPr>
            <w:tcW w:w="1118" w:type="dxa"/>
          </w:tcPr>
          <w:p w14:paraId="24EF5047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0BE773B6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494EBE45" w14:textId="77777777" w:rsidR="006226D0" w:rsidRDefault="006226D0" w:rsidP="0052176A">
            <w:r>
              <w:t>564/685/820, moc 4,9 KW, zasilanie 400 V</w:t>
            </w:r>
          </w:p>
        </w:tc>
      </w:tr>
      <w:tr w:rsidR="006226D0" w14:paraId="45337FDE" w14:textId="77777777" w:rsidTr="0052176A">
        <w:tc>
          <w:tcPr>
            <w:tcW w:w="561" w:type="dxa"/>
          </w:tcPr>
          <w:p w14:paraId="57BB299B" w14:textId="77777777" w:rsidR="006226D0" w:rsidRDefault="006226D0" w:rsidP="0052176A">
            <w:pPr>
              <w:jc w:val="center"/>
            </w:pPr>
            <w:r>
              <w:t>16.</w:t>
            </w:r>
          </w:p>
        </w:tc>
        <w:tc>
          <w:tcPr>
            <w:tcW w:w="3698" w:type="dxa"/>
          </w:tcPr>
          <w:p w14:paraId="4238086F" w14:textId="77777777" w:rsidR="006226D0" w:rsidRDefault="006226D0" w:rsidP="0052176A">
            <w:r>
              <w:t>Podstawa pod zmywarkę</w:t>
            </w:r>
          </w:p>
        </w:tc>
        <w:tc>
          <w:tcPr>
            <w:tcW w:w="1118" w:type="dxa"/>
          </w:tcPr>
          <w:p w14:paraId="7AA85E17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282E9B68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1F0CB2C9" w14:textId="77777777" w:rsidR="006226D0" w:rsidRDefault="006226D0" w:rsidP="0052176A">
            <w:r>
              <w:t>575/560/450, stal nierdzewna</w:t>
            </w:r>
          </w:p>
        </w:tc>
      </w:tr>
      <w:tr w:rsidR="006226D0" w14:paraId="35E8917D" w14:textId="77777777" w:rsidTr="0052176A">
        <w:tc>
          <w:tcPr>
            <w:tcW w:w="561" w:type="dxa"/>
          </w:tcPr>
          <w:p w14:paraId="63BD3FFD" w14:textId="77777777" w:rsidR="006226D0" w:rsidRDefault="006226D0" w:rsidP="0052176A">
            <w:pPr>
              <w:jc w:val="center"/>
            </w:pPr>
            <w:r>
              <w:t>17.</w:t>
            </w:r>
          </w:p>
        </w:tc>
        <w:tc>
          <w:tcPr>
            <w:tcW w:w="3698" w:type="dxa"/>
          </w:tcPr>
          <w:p w14:paraId="6E4CACAA" w14:textId="77777777" w:rsidR="006226D0" w:rsidRDefault="006226D0" w:rsidP="0052176A">
            <w:r>
              <w:t>Stół z blokiem 3 szuflad i półką</w:t>
            </w:r>
          </w:p>
        </w:tc>
        <w:tc>
          <w:tcPr>
            <w:tcW w:w="1118" w:type="dxa"/>
          </w:tcPr>
          <w:p w14:paraId="0E88FB35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3819E710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54C21D3D" w14:textId="77777777" w:rsidR="006226D0" w:rsidRDefault="006226D0" w:rsidP="0052176A">
            <w:r>
              <w:t>Stal nierdzewna</w:t>
            </w:r>
          </w:p>
        </w:tc>
      </w:tr>
      <w:tr w:rsidR="006226D0" w14:paraId="4F914CDE" w14:textId="77777777" w:rsidTr="0052176A">
        <w:tc>
          <w:tcPr>
            <w:tcW w:w="561" w:type="dxa"/>
          </w:tcPr>
          <w:p w14:paraId="36224A91" w14:textId="77777777" w:rsidR="006226D0" w:rsidRDefault="006226D0" w:rsidP="0052176A">
            <w:pPr>
              <w:jc w:val="center"/>
            </w:pPr>
            <w:r>
              <w:t>18.</w:t>
            </w:r>
          </w:p>
        </w:tc>
        <w:tc>
          <w:tcPr>
            <w:tcW w:w="3698" w:type="dxa"/>
          </w:tcPr>
          <w:p w14:paraId="5C937491" w14:textId="77777777" w:rsidR="006226D0" w:rsidRDefault="006226D0" w:rsidP="0052176A">
            <w:r>
              <w:t>Wózek transportowy</w:t>
            </w:r>
          </w:p>
        </w:tc>
        <w:tc>
          <w:tcPr>
            <w:tcW w:w="1118" w:type="dxa"/>
          </w:tcPr>
          <w:p w14:paraId="1FEBBAFD" w14:textId="77777777" w:rsidR="006226D0" w:rsidRDefault="006226D0" w:rsidP="0052176A">
            <w:pPr>
              <w:jc w:val="center"/>
            </w:pPr>
            <w:r>
              <w:t>2</w:t>
            </w:r>
          </w:p>
        </w:tc>
        <w:tc>
          <w:tcPr>
            <w:tcW w:w="829" w:type="dxa"/>
          </w:tcPr>
          <w:p w14:paraId="31714D5C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62B186E8" w14:textId="77777777" w:rsidR="006226D0" w:rsidRDefault="006226D0" w:rsidP="0052176A">
            <w:r>
              <w:t>Stal nierdzewna</w:t>
            </w:r>
          </w:p>
        </w:tc>
      </w:tr>
      <w:tr w:rsidR="006226D0" w14:paraId="0DC728D2" w14:textId="77777777" w:rsidTr="0052176A">
        <w:tc>
          <w:tcPr>
            <w:tcW w:w="561" w:type="dxa"/>
          </w:tcPr>
          <w:p w14:paraId="143ED1A5" w14:textId="77777777" w:rsidR="006226D0" w:rsidRDefault="006226D0" w:rsidP="0052176A">
            <w:pPr>
              <w:jc w:val="center"/>
            </w:pPr>
            <w:r>
              <w:t>19.</w:t>
            </w:r>
          </w:p>
        </w:tc>
        <w:tc>
          <w:tcPr>
            <w:tcW w:w="3698" w:type="dxa"/>
          </w:tcPr>
          <w:p w14:paraId="48FD571F" w14:textId="77777777" w:rsidR="006226D0" w:rsidRDefault="006226D0" w:rsidP="0052176A">
            <w:r>
              <w:t>Regał magazynowy</w:t>
            </w:r>
          </w:p>
        </w:tc>
        <w:tc>
          <w:tcPr>
            <w:tcW w:w="1118" w:type="dxa"/>
          </w:tcPr>
          <w:p w14:paraId="3A04123C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493C56B2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2AD6CEC5" w14:textId="77777777" w:rsidR="006226D0" w:rsidRDefault="006226D0" w:rsidP="0052176A">
            <w:r>
              <w:t>Aluminium/tworzywo sztuczne</w:t>
            </w:r>
          </w:p>
        </w:tc>
      </w:tr>
      <w:tr w:rsidR="006226D0" w14:paraId="39188553" w14:textId="77777777" w:rsidTr="0052176A">
        <w:tc>
          <w:tcPr>
            <w:tcW w:w="561" w:type="dxa"/>
          </w:tcPr>
          <w:p w14:paraId="2C75BE2E" w14:textId="77777777" w:rsidR="006226D0" w:rsidRDefault="006226D0" w:rsidP="0052176A">
            <w:pPr>
              <w:jc w:val="center"/>
            </w:pPr>
            <w:r>
              <w:t>20.</w:t>
            </w:r>
          </w:p>
        </w:tc>
        <w:tc>
          <w:tcPr>
            <w:tcW w:w="3698" w:type="dxa"/>
          </w:tcPr>
          <w:p w14:paraId="3C0DC5E6" w14:textId="77777777" w:rsidR="006226D0" w:rsidRDefault="006226D0" w:rsidP="0052176A">
            <w:r>
              <w:t>Zestaw porcelany/talerze/kubki</w:t>
            </w:r>
          </w:p>
        </w:tc>
        <w:tc>
          <w:tcPr>
            <w:tcW w:w="1118" w:type="dxa"/>
          </w:tcPr>
          <w:p w14:paraId="776DE490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4DE66A9D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1B94DE15" w14:textId="1A619DCC" w:rsidR="006226D0" w:rsidRDefault="006226D0" w:rsidP="0052176A">
            <w:r>
              <w:t>Talerz głęboki (</w:t>
            </w:r>
            <w:r w:rsidRPr="006226D0">
              <w:t>2</w:t>
            </w:r>
            <w:r w:rsidR="00D444B4">
              <w:t>1</w:t>
            </w:r>
            <w:r w:rsidRPr="006226D0">
              <w:t>cm-23cm</w:t>
            </w:r>
            <w:r>
              <w:t>), płytki (</w:t>
            </w:r>
            <w:r w:rsidR="002723B9" w:rsidRPr="002723B9">
              <w:t>2</w:t>
            </w:r>
            <w:r w:rsidR="00D444B4">
              <w:t>2</w:t>
            </w:r>
            <w:r w:rsidR="002723B9" w:rsidRPr="002723B9">
              <w:t>cm-26cm</w:t>
            </w:r>
            <w:r>
              <w:t>), szklanka arcoroc</w:t>
            </w:r>
            <w:r w:rsidR="002723B9">
              <w:t xml:space="preserve"> (min. 250ml),</w:t>
            </w:r>
            <w:r>
              <w:t xml:space="preserve"> </w:t>
            </w:r>
            <w:r w:rsidR="002723B9">
              <w:t xml:space="preserve">po </w:t>
            </w:r>
            <w:r>
              <w:t>100 szt.</w:t>
            </w:r>
          </w:p>
        </w:tc>
      </w:tr>
      <w:tr w:rsidR="006226D0" w14:paraId="1B3EAEB4" w14:textId="77777777" w:rsidTr="0052176A">
        <w:tc>
          <w:tcPr>
            <w:tcW w:w="561" w:type="dxa"/>
          </w:tcPr>
          <w:p w14:paraId="7CBF95BE" w14:textId="77777777" w:rsidR="006226D0" w:rsidRDefault="006226D0" w:rsidP="0052176A">
            <w:pPr>
              <w:jc w:val="center"/>
            </w:pPr>
            <w:r>
              <w:t>21.</w:t>
            </w:r>
          </w:p>
        </w:tc>
        <w:tc>
          <w:tcPr>
            <w:tcW w:w="3698" w:type="dxa"/>
          </w:tcPr>
          <w:p w14:paraId="5CE09CFF" w14:textId="77777777" w:rsidR="006226D0" w:rsidRDefault="006226D0" w:rsidP="0052176A">
            <w:r>
              <w:t>Zestaw sztućców/łyżki/noże/widelce/łyżeczki</w:t>
            </w:r>
          </w:p>
        </w:tc>
        <w:tc>
          <w:tcPr>
            <w:tcW w:w="1118" w:type="dxa"/>
          </w:tcPr>
          <w:p w14:paraId="2FF3CFF5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377DC45E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6EE3263C" w14:textId="77777777" w:rsidR="006226D0" w:rsidRDefault="006226D0" w:rsidP="0052176A">
            <w:r>
              <w:t>Stal nierdzewna, po 100 szt.</w:t>
            </w:r>
          </w:p>
        </w:tc>
      </w:tr>
      <w:tr w:rsidR="006226D0" w14:paraId="5A0377DB" w14:textId="77777777" w:rsidTr="0052176A">
        <w:tc>
          <w:tcPr>
            <w:tcW w:w="561" w:type="dxa"/>
          </w:tcPr>
          <w:p w14:paraId="4EC1003D" w14:textId="77777777" w:rsidR="006226D0" w:rsidRDefault="006226D0" w:rsidP="0052176A">
            <w:pPr>
              <w:jc w:val="center"/>
            </w:pPr>
            <w:r>
              <w:t>22.</w:t>
            </w:r>
          </w:p>
        </w:tc>
        <w:tc>
          <w:tcPr>
            <w:tcW w:w="3698" w:type="dxa"/>
          </w:tcPr>
          <w:p w14:paraId="5D32FDA0" w14:textId="77777777" w:rsidR="006226D0" w:rsidRDefault="006226D0" w:rsidP="0052176A">
            <w:r>
              <w:t>Chochla 1,5 l</w:t>
            </w:r>
          </w:p>
        </w:tc>
        <w:tc>
          <w:tcPr>
            <w:tcW w:w="1118" w:type="dxa"/>
          </w:tcPr>
          <w:p w14:paraId="0838B852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0303E96D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481EA096" w14:textId="77777777" w:rsidR="006226D0" w:rsidRDefault="006226D0" w:rsidP="0052176A"/>
        </w:tc>
      </w:tr>
      <w:tr w:rsidR="006226D0" w14:paraId="5C490F16" w14:textId="77777777" w:rsidTr="0052176A">
        <w:tc>
          <w:tcPr>
            <w:tcW w:w="561" w:type="dxa"/>
          </w:tcPr>
          <w:p w14:paraId="5219E37A" w14:textId="77777777" w:rsidR="006226D0" w:rsidRDefault="006226D0" w:rsidP="0052176A">
            <w:pPr>
              <w:jc w:val="center"/>
            </w:pPr>
            <w:r>
              <w:t>23.</w:t>
            </w:r>
          </w:p>
        </w:tc>
        <w:tc>
          <w:tcPr>
            <w:tcW w:w="3698" w:type="dxa"/>
          </w:tcPr>
          <w:p w14:paraId="46388DC5" w14:textId="77777777" w:rsidR="006226D0" w:rsidRDefault="006226D0" w:rsidP="0052176A">
            <w:r>
              <w:t>Stół przyścienny z półką</w:t>
            </w:r>
          </w:p>
        </w:tc>
        <w:tc>
          <w:tcPr>
            <w:tcW w:w="1118" w:type="dxa"/>
          </w:tcPr>
          <w:p w14:paraId="02A39F3A" w14:textId="77777777" w:rsidR="006226D0" w:rsidRDefault="006226D0" w:rsidP="0052176A">
            <w:pPr>
              <w:jc w:val="center"/>
            </w:pPr>
            <w:r>
              <w:t>1</w:t>
            </w:r>
          </w:p>
        </w:tc>
        <w:tc>
          <w:tcPr>
            <w:tcW w:w="829" w:type="dxa"/>
          </w:tcPr>
          <w:p w14:paraId="5A2033AF" w14:textId="77777777" w:rsidR="006226D0" w:rsidRDefault="006226D0" w:rsidP="0052176A">
            <w:pPr>
              <w:jc w:val="center"/>
            </w:pPr>
            <w:r>
              <w:t>szt.</w:t>
            </w:r>
          </w:p>
        </w:tc>
        <w:tc>
          <w:tcPr>
            <w:tcW w:w="5210" w:type="dxa"/>
          </w:tcPr>
          <w:p w14:paraId="206BA296" w14:textId="77777777" w:rsidR="006226D0" w:rsidRDefault="006226D0" w:rsidP="0052176A">
            <w:r>
              <w:t>Stal nierdzewna</w:t>
            </w:r>
          </w:p>
        </w:tc>
      </w:tr>
    </w:tbl>
    <w:p w14:paraId="7D3C6276" w14:textId="77777777" w:rsidR="00CE656C" w:rsidRDefault="00CE656C" w:rsidP="008C16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</w:p>
    <w:p w14:paraId="092215C7" w14:textId="109A4926" w:rsidR="003437E0" w:rsidRPr="00CE656C" w:rsidRDefault="0014116A" w:rsidP="008C16E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b/>
          <w:bCs/>
          <w:color w:val="000000"/>
          <w:sz w:val="25"/>
          <w:szCs w:val="25"/>
          <w:lang w:eastAsia="pl-PL"/>
        </w:rPr>
        <w:t xml:space="preserve">Uwaga! </w:t>
      </w:r>
    </w:p>
    <w:p w14:paraId="7F305EBF" w14:textId="197B127F" w:rsidR="00DF26B9" w:rsidRPr="00CE656C" w:rsidRDefault="00DF26B9" w:rsidP="007B7045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Miejscem dostawy będzie Szkoła Podstawowa im. Władysława Broniewskiego w Zelgnie, Zelgno 12, 87-140 Chełmża.</w:t>
      </w:r>
    </w:p>
    <w:p w14:paraId="6BF4AF5F" w14:textId="1064287A" w:rsidR="00896416" w:rsidRPr="00CE656C" w:rsidRDefault="00896416" w:rsidP="00896416">
      <w:pPr>
        <w:pStyle w:val="NormalnyWeb"/>
        <w:numPr>
          <w:ilvl w:val="0"/>
          <w:numId w:val="12"/>
        </w:numPr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lastRenderedPageBreak/>
        <w:t>Podana specyfikacja określa minimalne standardy wykonania i parametry techniczne.</w:t>
      </w:r>
    </w:p>
    <w:p w14:paraId="36615738" w14:textId="378B5629" w:rsidR="00896416" w:rsidRPr="00CE656C" w:rsidRDefault="00896416" w:rsidP="00896416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Zamawiający dopuszcza możliwość przestawienia w ofercie asortymentu równoważnego pod warunkiem, iż oferowany asortyment będzie o takich samych lub lepszych parametrach technicznych, jakościowych, estetycznych, materiałowych, wielkościowych, kolorystycznych, technologicznych, funkcjonalnych oraz użytkowych.</w:t>
      </w:r>
    </w:p>
    <w:p w14:paraId="60E02F70" w14:textId="5856A6D6" w:rsidR="00896416" w:rsidRPr="00CE656C" w:rsidRDefault="00896416" w:rsidP="00896416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Wykonawca może zastosować urządzenia dowolnych producentów, pod warunkiem spełnienia wymogów wynikających z ich opisów. Zamawiający dopuszcza zastosowanie każdego modelu równoważnego, który będzie spełniał wszystkie kryteria i parametry zawarte w opisie.</w:t>
      </w:r>
    </w:p>
    <w:p w14:paraId="7E647B6E" w14:textId="42972495" w:rsidR="00896416" w:rsidRPr="00CE656C" w:rsidRDefault="00896416" w:rsidP="00896416">
      <w:pPr>
        <w:pStyle w:val="NormalnyWeb"/>
        <w:numPr>
          <w:ilvl w:val="0"/>
          <w:numId w:val="12"/>
        </w:numPr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Dopuszczalna tolerancja wymiarów wyposażenia</w:t>
      </w:r>
      <w:r w:rsidR="00D444B4"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/ przedmiotu zamówienia</w:t>
      </w: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+/ - </w:t>
      </w:r>
      <w:r w:rsidR="006226D0"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10</w:t>
      </w: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,00 %.</w:t>
      </w:r>
    </w:p>
    <w:p w14:paraId="3AF0EDB8" w14:textId="05E5EFB7" w:rsidR="009B1D2A" w:rsidRPr="00CE656C" w:rsidRDefault="00EA0303" w:rsidP="007B7045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Zgodnie z Rozporządzeniem Rady Ministrów z dnia 5 lutego 2019 r. w sprawie realizacji 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7B7045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*</w:t>
      </w: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 (</w:t>
      </w:r>
      <w:r w:rsidRPr="00CE656C">
        <w:rPr>
          <w:rFonts w:asciiTheme="majorHAnsi" w:hAnsiTheme="majorHAnsi" w:cstheme="majorHAnsi"/>
          <w:b/>
          <w:color w:val="000000"/>
          <w:sz w:val="25"/>
          <w:szCs w:val="25"/>
          <w:u w:val="single"/>
        </w:rPr>
        <w:t>w szczególności wskazanych w par. 2 ust. 7 pkt 2-3, par. 2 ust. 8-9 niniejszego Rozporządzenia</w:t>
      </w: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)</w:t>
      </w:r>
      <w:r w:rsidR="00920704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, o</w:t>
      </w: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ferowane przez Wykonawcę wyposażenie</w:t>
      </w:r>
      <w:r w:rsidR="009B1D2A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, jeżeli stanowi materiały i wyroby przeznaczone do kontaktu z żywnością, musi odpowiadać wymaganiom ogólnym określonym w art. 3 rozporządzenia (WE) nr 1935/2004 Parlamentu Europejskiego i Rady z dnia 27 października 2004 r. w sprawie materiałów i wyrobów przeznaczonych do kontaktu z żywnością oraz uchylającego dyrektywy 80/590/EWG i 89/109/EWG (Dz. Urz. UE L 338 z 13.11.2004, str. 4 oraz Dz. Urz. UE L 188 z 18.07.2009, str. 14) oraz:</w:t>
      </w:r>
    </w:p>
    <w:p w14:paraId="59E87E97" w14:textId="74AC5249" w:rsidR="00EA0303" w:rsidRPr="00CE656C" w:rsidRDefault="00EA0303" w:rsidP="00EA0303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Posiadać deklarację CE,</w:t>
      </w:r>
    </w:p>
    <w:p w14:paraId="11DDBE06" w14:textId="031AB05A" w:rsidR="00EA0303" w:rsidRPr="00CE656C" w:rsidRDefault="00EA0303" w:rsidP="00EA0303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Być fabrycznie nowe i wolne od obciążeń prawami osób trzecich,</w:t>
      </w:r>
    </w:p>
    <w:p w14:paraId="31EC26C4" w14:textId="24D4751E" w:rsidR="00EA0303" w:rsidRPr="00CE656C" w:rsidRDefault="00EA0303" w:rsidP="00EA0303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Posiadać niezbędne instrukcje i materiały dotyczące użytkowania sporządzone w języku polskim,</w:t>
      </w:r>
    </w:p>
    <w:p w14:paraId="5FB53E0C" w14:textId="5D230B2A" w:rsidR="00EA0303" w:rsidRPr="00CE656C" w:rsidRDefault="00EA0303" w:rsidP="00EA0303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Posiadać okres gwarancji udzielonej przez producenta lub dostawcę nie krótszy niż 2 lata</w:t>
      </w:r>
      <w:r w:rsidR="00FA27D3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.</w:t>
      </w:r>
    </w:p>
    <w:p w14:paraId="20AE04D9" w14:textId="6129E3E5" w:rsidR="00EA0303" w:rsidRPr="00CE656C" w:rsidRDefault="00EA0303" w:rsidP="00EA0303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Wyposażenie, </w:t>
      </w:r>
      <w:r w:rsidR="007B7045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jeżeli nie stanowi materiałów i wyrobów przeznaczonych do kontaktu z żywnością (w rozumieniu rozporządzenia</w:t>
      </w:r>
      <w:r w:rsidR="00D55D67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, o którym mowa powyżej</w:t>
      </w:r>
      <w:r w:rsidR="007B7045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) musi spełniać wymagania:</w:t>
      </w:r>
    </w:p>
    <w:p w14:paraId="55A47E4B" w14:textId="77777777" w:rsidR="007B7045" w:rsidRPr="00CE656C" w:rsidRDefault="007B7045" w:rsidP="007B7045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Być fabrycznie nowe i wolne od obciążeń prawami osób trzecich,</w:t>
      </w:r>
    </w:p>
    <w:p w14:paraId="228DE46E" w14:textId="77777777" w:rsidR="007B7045" w:rsidRPr="00CE656C" w:rsidRDefault="007B7045" w:rsidP="007B7045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Posiadać niezbędne instrukcje i materiały dotyczące użytkowania sporządzone w języku polskim,</w:t>
      </w:r>
    </w:p>
    <w:p w14:paraId="6871F9EA" w14:textId="53E0FA3B" w:rsidR="00FA27D3" w:rsidRPr="00CE656C" w:rsidRDefault="007B7045" w:rsidP="00CC1135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Theme="majorHAnsi" w:hAnsiTheme="majorHAnsi" w:cstheme="majorHAnsi"/>
          <w:b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Posiadać okres gwarancji udzielonej przez producenta lub dostawcę nie krótszy niż 2 lata</w:t>
      </w:r>
      <w:r w:rsidR="00FA27D3" w:rsidRPr="00CE656C">
        <w:rPr>
          <w:rFonts w:asciiTheme="majorHAnsi" w:hAnsiTheme="majorHAnsi" w:cstheme="majorHAnsi"/>
          <w:b/>
          <w:color w:val="000000"/>
          <w:sz w:val="25"/>
          <w:szCs w:val="25"/>
        </w:rPr>
        <w:t>.</w:t>
      </w:r>
    </w:p>
    <w:p w14:paraId="7F01C52A" w14:textId="17C8DA6A" w:rsidR="001962B4" w:rsidRPr="001814D2" w:rsidRDefault="001962B4" w:rsidP="00CC0A72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Przed złożeniem oferty Zamawiający </w:t>
      </w:r>
      <w:r w:rsidR="00D444B4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zaleca,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aby Wykonawcy ubiegający się o wykonanie zamówienia przeprowadz</w:t>
      </w:r>
      <w:r w:rsidR="003C00E3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ili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wizję lokalną w budynku, do którego b</w:t>
      </w:r>
      <w:r w:rsidR="003C00E3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ędzie 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dostarczane wyposażenie, celem dokładnego zapoznania się z przedmiotem zamówienia</w:t>
      </w:r>
      <w:r w:rsidR="00594978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, dokonania szczegółowych pomiarów</w:t>
      </w:r>
      <w:r w:rsidR="003064CF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i uzyskania wszystkich niezbędnych informacji w zakresie warunków i okoliczności możliwych do </w:t>
      </w:r>
      <w:r w:rsidR="003064CF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lastRenderedPageBreak/>
        <w:t>wystąpienia podczas realizacji zamówienia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. </w:t>
      </w:r>
      <w:r w:rsidR="001814D2" w:rsidRPr="001814D2">
        <w:rPr>
          <w:rFonts w:asciiTheme="majorHAnsi" w:hAnsiTheme="majorHAnsi" w:cstheme="majorHAnsi"/>
          <w:b/>
          <w:color w:val="000000"/>
          <w:sz w:val="25"/>
          <w:szCs w:val="25"/>
        </w:rPr>
        <w:t>Odbycie wizji lokalnej ma stanowić źródło pozyskania dodatkowych informacji, stanowiących dopełnienie wiedzy o warunkach zamówienia, pomocnych lub niezbędnych do złożenia oferty</w:t>
      </w:r>
      <w:r w:rsidR="001814D2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.</w:t>
      </w:r>
      <w:r w:rsid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</w:t>
      </w:r>
      <w:r w:rsidR="003064CF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Wizję lokalną można przeprowadzić od poniedziałku do piątku w godz. </w:t>
      </w:r>
      <w:r w:rsidR="003C00E3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od </w:t>
      </w:r>
      <w:r w:rsidR="003064CF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10:00 </w:t>
      </w:r>
      <w:r w:rsidR="003C00E3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do </w:t>
      </w:r>
      <w:r w:rsidR="003064CF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14:00. 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Każdy z wykonawców winien zgłosić zamawiającemu chęć dokonania wizji lokalnej na jeden dzień </w:t>
      </w:r>
      <w:r w:rsidR="00D55D67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roboczy 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przed terminem wizji, po uprzednim</w:t>
      </w:r>
      <w:r w:rsidR="003064CF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telefonicznym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uzgodnieniu terminu z Dyrektorem Placówki</w:t>
      </w:r>
      <w:r w:rsidR="003C00E3"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– Panią Beatą Zając, pod numerem tel. 695 375 180</w:t>
      </w:r>
      <w:r w:rsidRPr="001814D2">
        <w:rPr>
          <w:rFonts w:asciiTheme="majorHAnsi" w:hAnsiTheme="majorHAnsi" w:cstheme="majorHAnsi"/>
          <w:bCs/>
          <w:color w:val="000000"/>
          <w:sz w:val="25"/>
          <w:szCs w:val="25"/>
        </w:rPr>
        <w:t>.</w:t>
      </w:r>
    </w:p>
    <w:p w14:paraId="19F1703F" w14:textId="29A06BF8" w:rsidR="003437E0" w:rsidRPr="00CE656C" w:rsidRDefault="00426001" w:rsidP="003437E0">
      <w:pPr>
        <w:pStyle w:val="NormalnyWeb"/>
        <w:numPr>
          <w:ilvl w:val="0"/>
          <w:numId w:val="12"/>
        </w:numPr>
        <w:spacing w:before="0" w:beforeAutospacing="0"/>
        <w:jc w:val="both"/>
        <w:rPr>
          <w:rFonts w:asciiTheme="majorHAnsi" w:hAnsiTheme="majorHAnsi" w:cstheme="majorHAnsi"/>
          <w:bCs/>
          <w:color w:val="000000"/>
          <w:sz w:val="25"/>
          <w:szCs w:val="25"/>
        </w:rPr>
      </w:pP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Zamawiający zastrzega, iż cena jednostkowa </w:t>
      </w:r>
      <w:r w:rsidR="001D22AA" w:rsidRPr="00CE656C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oferowanych </w:t>
      </w: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poszczególnych asortymentów (produktów/ urządzeń/ elementów wyposażenia) nie może przekroczyć </w:t>
      </w:r>
      <w:r w:rsidR="00920704" w:rsidRPr="00CE656C">
        <w:rPr>
          <w:rFonts w:asciiTheme="majorHAnsi" w:hAnsiTheme="majorHAnsi" w:cstheme="majorHAnsi"/>
          <w:b/>
          <w:color w:val="000000"/>
          <w:sz w:val="25"/>
          <w:szCs w:val="25"/>
        </w:rPr>
        <w:t xml:space="preserve">wartości </w:t>
      </w:r>
      <w:r w:rsidRPr="00CE656C">
        <w:rPr>
          <w:rFonts w:asciiTheme="majorHAnsi" w:hAnsiTheme="majorHAnsi" w:cstheme="majorHAnsi"/>
          <w:b/>
          <w:color w:val="000000"/>
          <w:sz w:val="25"/>
          <w:szCs w:val="25"/>
        </w:rPr>
        <w:t>10 000,00 zł brutto</w:t>
      </w:r>
      <w:r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>.</w:t>
      </w:r>
      <w:r w:rsidR="00D55D67" w:rsidRPr="00CE656C">
        <w:rPr>
          <w:rFonts w:asciiTheme="majorHAnsi" w:hAnsiTheme="majorHAnsi" w:cstheme="majorHAnsi"/>
          <w:bCs/>
          <w:color w:val="000000"/>
          <w:sz w:val="25"/>
          <w:szCs w:val="25"/>
        </w:rPr>
        <w:t xml:space="preserve"> </w:t>
      </w:r>
    </w:p>
    <w:p w14:paraId="620A7653" w14:textId="3682D0ED" w:rsidR="00617E4C" w:rsidRPr="00CE656C" w:rsidRDefault="00617E4C" w:rsidP="007125A4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Nazwy i kody Wspólnego Słownika Zamówień (klasyfikacji CPV)</w:t>
      </w:r>
      <w:r w:rsidR="00EF7E49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:</w:t>
      </w:r>
    </w:p>
    <w:p w14:paraId="466A3494" w14:textId="17460868" w:rsidR="00617E4C" w:rsidRPr="00CE656C" w:rsidRDefault="00617E4C" w:rsidP="007125A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CPV</w:t>
      </w:r>
      <w:r w:rsidR="007125A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</w:r>
      <w:r w:rsidR="00A2453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39141000-2</w:t>
      </w:r>
      <w:r w:rsidR="003437E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ab/>
      </w:r>
      <w:r w:rsidR="00A2453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Meble i wyposażenie kuchni</w:t>
      </w:r>
    </w:p>
    <w:p w14:paraId="231BD880" w14:textId="3B7516AD" w:rsidR="007125A4" w:rsidRDefault="007125A4" w:rsidP="007125A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</w:p>
    <w:p w14:paraId="736FF737" w14:textId="0E80C4B7" w:rsidR="00617E4C" w:rsidRPr="001B2D17" w:rsidRDefault="00617E4C" w:rsidP="008D28F9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III. Termin wykonania zamówienia</w:t>
      </w:r>
    </w:p>
    <w:p w14:paraId="00F78723" w14:textId="5DC79690" w:rsidR="008D28F9" w:rsidRPr="00CE656C" w:rsidRDefault="00563B95" w:rsidP="008D28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>Zadanie pn.: „</w:t>
      </w:r>
      <w:r w:rsidR="008D28F9" w:rsidRPr="00CE656C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Posiłek w szkole i w domu</w:t>
      </w:r>
      <w:r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” będzie realizowane </w:t>
      </w:r>
      <w:r w:rsidR="008D28F9"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>w nieprzekraczalnym</w:t>
      </w:r>
      <w:r w:rsidR="000467FC">
        <w:rPr>
          <w:rFonts w:asciiTheme="majorHAnsi" w:eastAsia="Times New Roman" w:hAnsiTheme="majorHAnsi" w:cs="Times New Roman"/>
          <w:sz w:val="25"/>
          <w:szCs w:val="25"/>
          <w:lang w:eastAsia="pl-PL"/>
        </w:rPr>
        <w:t>, maksymalnym</w:t>
      </w:r>
      <w:r w:rsidR="008D28F9"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terminie 14 dni licząc </w:t>
      </w:r>
      <w:r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od </w:t>
      </w:r>
      <w:r w:rsidR="008D28F9"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>dnia</w:t>
      </w:r>
      <w:r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podpisania</w:t>
      </w:r>
      <w:r w:rsidR="008D28F9"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(zawarcia)</w:t>
      </w:r>
      <w:r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umowy z Wykonawcą</w:t>
      </w:r>
      <w:r w:rsidR="008D28F9"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 xml:space="preserve"> (</w:t>
      </w:r>
      <w:r w:rsidR="008D28F9" w:rsidRPr="00CE656C">
        <w:rPr>
          <w:rFonts w:asciiTheme="majorHAnsi" w:eastAsia="Times New Roman" w:hAnsiTheme="majorHAnsi" w:cs="Times New Roman"/>
          <w:i/>
          <w:iCs/>
          <w:sz w:val="25"/>
          <w:szCs w:val="25"/>
          <w:lang w:eastAsia="pl-PL"/>
        </w:rPr>
        <w:t>zgodnie z ofertą Wykonawcy z uwagi na to, iż termin realizacji stanowi kryterium oceny ofert</w:t>
      </w:r>
      <w:r w:rsidR="008D28F9" w:rsidRPr="00CE656C">
        <w:rPr>
          <w:rFonts w:asciiTheme="majorHAnsi" w:eastAsia="Times New Roman" w:hAnsiTheme="majorHAnsi" w:cs="Times New Roman"/>
          <w:sz w:val="25"/>
          <w:szCs w:val="25"/>
          <w:lang w:eastAsia="pl-PL"/>
        </w:rPr>
        <w:t>).</w:t>
      </w:r>
    </w:p>
    <w:p w14:paraId="60C6D0E5" w14:textId="77777777" w:rsidR="00C234BA" w:rsidRDefault="00C234BA" w:rsidP="00C234B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2DED15B4" w14:textId="77C6078F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IV. Wynagrodzenie</w:t>
      </w:r>
      <w:r w:rsidR="00F74F8C">
        <w:rPr>
          <w:rFonts w:eastAsia="Times New Roman"/>
          <w:lang w:eastAsia="pl-PL"/>
        </w:rPr>
        <w:t>/ cena oferty</w:t>
      </w:r>
    </w:p>
    <w:p w14:paraId="7B665CEC" w14:textId="77777777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 wykonanie przedmiotu zamówienia strony ustalają wynagrodzenie ryczałtowe brutto.</w:t>
      </w:r>
    </w:p>
    <w:p w14:paraId="2107D554" w14:textId="7348486C" w:rsidR="00617E4C" w:rsidRPr="00CE656C" w:rsidRDefault="00617E4C" w:rsidP="00200852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Cena oferty musi być kompletna, jednoznaczna i ostateczna. Wykonawca kalkuluje cenę ryczałtową na podstawie 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niniejszego postępowania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-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apytania 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fertowego wraz z załącznikami. W wycenie oferty należy uwzględnić wszystkie niezbędne elementy i przewidywane koszty związane z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realizacją zadania. Wykonawca ponosi wyłączną odpowiedzialność za zbadanie z należytą starannością obiektu oraz za uzyskanie informacji w odniesieniu do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przedmiotu zamówienia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wszelkich warunków oraz zobowiązań, które w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jakikolwiek sposób mogą wpłynąć na wartość lub charakter oferty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tj. uwzględniać pełen zakres przedmiotu zamówienia</w:t>
      </w:r>
      <w:r w:rsidR="00C117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w tym 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np. </w:t>
      </w:r>
      <w:r w:rsidR="00C117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wartość dostarczanych sprzętów, koszty 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wizji lokalnej, </w:t>
      </w:r>
      <w:r w:rsidR="00C117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transportu, montażu, usług gwarancyjnych, ryzyko wynikające z okoliczności, których nie można było przewidzieć w chwili składania oferty.</w:t>
      </w:r>
    </w:p>
    <w:p w14:paraId="749710B2" w14:textId="6357B432" w:rsidR="00F74F8C" w:rsidRPr="00CE656C" w:rsidRDefault="00F74F8C" w:rsidP="00F74F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została złożona oferta, której wybór prowadziłby do powstania u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zamawiającego obowiązku podatkowego zgodnie z ustawą z dnia 11 marca 2004 r. o podatku od towarów i usług (Dz. U. z 20</w:t>
      </w:r>
      <w:r w:rsidR="00050E5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21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r. poz. </w:t>
      </w:r>
      <w:r w:rsidR="00050E5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685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 późn. zm.), dla celów zastosowania kryterium ceny lub kosztu zamawiający dolicza do</w:t>
      </w:r>
      <w:r w:rsidR="007711C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przedstawionej w tej ofercie ceny kwotę podatku od towarów i usług, którą miałby obowiązek rozliczyć. Wówczas w ofercie, wykonawca ma obowiązek:</w:t>
      </w:r>
    </w:p>
    <w:p w14:paraId="6EAE206C" w14:textId="77777777" w:rsidR="00F74F8C" w:rsidRPr="00CE656C" w:rsidRDefault="00F74F8C" w:rsidP="007711CA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poinformowania zamawiającego, że wybór jego oferty będzie prowadził do powstania u zamawiającego obowiązku podatkowego;</w:t>
      </w:r>
    </w:p>
    <w:p w14:paraId="62BEFACD" w14:textId="66C2C75A" w:rsidR="00F74F8C" w:rsidRPr="00CE656C" w:rsidRDefault="00F74F8C" w:rsidP="00F74F8C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wskazania nazwy (rodzaju) towaru lub usługi, których dostawa lub</w:t>
      </w:r>
      <w:r w:rsidR="0045025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świadczenie będą prowadziły do powstania obowiązku podatkowego;</w:t>
      </w:r>
    </w:p>
    <w:p w14:paraId="7F7F803B" w14:textId="77777777" w:rsidR="00F74F8C" w:rsidRPr="00CE656C" w:rsidRDefault="00F74F8C" w:rsidP="00F74F8C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wskazania wartości towaru lub usługi objętego obowiązkiem podatkowym zamawiającego, bez kwoty podatku;</w:t>
      </w:r>
    </w:p>
    <w:p w14:paraId="0B2D0C4C" w14:textId="66C38552" w:rsidR="00F74F8C" w:rsidRPr="00CE656C" w:rsidRDefault="00F74F8C" w:rsidP="00F74F8C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wskazania stawki podatku od towarów i usług, która zgodnie z wiedzą wykonawcy, będzie miała zastosowanie.</w:t>
      </w:r>
    </w:p>
    <w:p w14:paraId="58EA0990" w14:textId="370F3EA3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Rozliczenie za wykonanie przedmiotu umowy nastąpi jednorazowo po zakończeniu realizacji zadania w oparciu o fakturę końcową, po pozytywnym odbiorze wykonania przedmiotu umowy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potwierdzonym protokołem odbioru końcowego 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bez zastrzeżeń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257DB600" w14:textId="736DBDAB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Wynagrodzenie będzie płatne w terminie do 30 dni od daty otrzymania prawidłowo wystawionej faktury przez Zamawiającego 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na podstawie protokołu odbioru</w:t>
      </w:r>
      <w:r w:rsidR="0092070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),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przelewem na konto Wykonawcy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14116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zgodnie z warunkami określonymi w projekcie umowy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62BBEBEC" w14:textId="44F3DC5F" w:rsidR="00617E4C" w:rsidRPr="00CE656C" w:rsidRDefault="00617E4C" w:rsidP="002008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 datę zapłaty przyjmuje się datę obciążenia rachunku bankowego Zamawiającego.</w:t>
      </w:r>
    </w:p>
    <w:p w14:paraId="5A59F038" w14:textId="476167AA" w:rsidR="00251402" w:rsidRDefault="00251402" w:rsidP="002514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5E56B957" w14:textId="77777777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 V. Kryteria oceny ofert i sposób ich obliczania</w:t>
      </w:r>
    </w:p>
    <w:p w14:paraId="40111B11" w14:textId="0BA0C487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stosować będzie następujące kryteria oceny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200852" w:rsidRPr="00CE656C" w14:paraId="79D37113" w14:textId="77777777" w:rsidTr="00E7587A">
        <w:tc>
          <w:tcPr>
            <w:tcW w:w="562" w:type="dxa"/>
          </w:tcPr>
          <w:p w14:paraId="476B08D9" w14:textId="0E903911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  <w:t>Nr</w:t>
            </w:r>
          </w:p>
        </w:tc>
        <w:tc>
          <w:tcPr>
            <w:tcW w:w="4395" w:type="dxa"/>
          </w:tcPr>
          <w:p w14:paraId="703F550E" w14:textId="5626F1FB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  <w:t>Nazwa kryterium</w:t>
            </w:r>
          </w:p>
        </w:tc>
        <w:tc>
          <w:tcPr>
            <w:tcW w:w="4105" w:type="dxa"/>
          </w:tcPr>
          <w:p w14:paraId="48AEED53" w14:textId="3BD32B5D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5"/>
                <w:szCs w:val="25"/>
                <w:lang w:eastAsia="pl-PL"/>
              </w:rPr>
              <w:t>Waga/ udział procentowy kryterium</w:t>
            </w:r>
          </w:p>
        </w:tc>
      </w:tr>
      <w:tr w:rsidR="00200852" w:rsidRPr="00CE656C" w14:paraId="0C274F39" w14:textId="77777777" w:rsidTr="00E7587A">
        <w:tc>
          <w:tcPr>
            <w:tcW w:w="562" w:type="dxa"/>
          </w:tcPr>
          <w:p w14:paraId="3FA5E3A2" w14:textId="4DEA0AE8" w:rsidR="00200852" w:rsidRPr="00CE656C" w:rsidRDefault="00200852" w:rsidP="00200852">
            <w:pPr>
              <w:spacing w:before="100" w:beforeAutospacing="1"/>
              <w:jc w:val="both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1</w:t>
            </w:r>
          </w:p>
        </w:tc>
        <w:tc>
          <w:tcPr>
            <w:tcW w:w="4395" w:type="dxa"/>
          </w:tcPr>
          <w:p w14:paraId="5A1A8FE6" w14:textId="2A9A859D" w:rsidR="00200852" w:rsidRPr="00CE656C" w:rsidRDefault="00200852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Cena brutto</w:t>
            </w:r>
          </w:p>
        </w:tc>
        <w:tc>
          <w:tcPr>
            <w:tcW w:w="4105" w:type="dxa"/>
          </w:tcPr>
          <w:p w14:paraId="480F406C" w14:textId="0F6A29AB" w:rsidR="00200852" w:rsidRPr="00CE656C" w:rsidRDefault="005C6848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7</w:t>
            </w:r>
            <w:r w:rsidR="0014116A"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0</w:t>
            </w:r>
            <w:r w:rsidR="00200852"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,00 %</w:t>
            </w:r>
          </w:p>
        </w:tc>
      </w:tr>
      <w:tr w:rsidR="0014116A" w:rsidRPr="00CE656C" w14:paraId="6B92B586" w14:textId="77777777" w:rsidTr="00E7587A">
        <w:tc>
          <w:tcPr>
            <w:tcW w:w="562" w:type="dxa"/>
          </w:tcPr>
          <w:p w14:paraId="61127B22" w14:textId="75C0AE91" w:rsidR="0014116A" w:rsidRPr="00CE656C" w:rsidRDefault="0014116A" w:rsidP="00200852">
            <w:pPr>
              <w:spacing w:before="100" w:beforeAutospacing="1"/>
              <w:jc w:val="both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2</w:t>
            </w:r>
          </w:p>
        </w:tc>
        <w:tc>
          <w:tcPr>
            <w:tcW w:w="4395" w:type="dxa"/>
          </w:tcPr>
          <w:p w14:paraId="1D0AAD68" w14:textId="69B5459E" w:rsidR="0014116A" w:rsidRPr="00CE656C" w:rsidRDefault="0014116A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Termin realizacji</w:t>
            </w:r>
          </w:p>
        </w:tc>
        <w:tc>
          <w:tcPr>
            <w:tcW w:w="4105" w:type="dxa"/>
          </w:tcPr>
          <w:p w14:paraId="3DAB3165" w14:textId="3C095FD9" w:rsidR="0014116A" w:rsidRPr="00CE656C" w:rsidRDefault="005C6848" w:rsidP="00200852">
            <w:pPr>
              <w:spacing w:before="100" w:beforeAutospacing="1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</w:pPr>
            <w:r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3</w:t>
            </w:r>
            <w:r w:rsidR="0014116A" w:rsidRPr="00CE656C">
              <w:rPr>
                <w:rFonts w:asciiTheme="majorHAnsi" w:eastAsia="Times New Roman" w:hAnsiTheme="majorHAnsi" w:cs="Times New Roman"/>
                <w:color w:val="000000"/>
                <w:sz w:val="25"/>
                <w:szCs w:val="25"/>
                <w:lang w:eastAsia="pl-PL"/>
              </w:rPr>
              <w:t>0,00 %</w:t>
            </w:r>
          </w:p>
        </w:tc>
      </w:tr>
    </w:tbl>
    <w:p w14:paraId="7E064DCB" w14:textId="77777777" w:rsidR="00BE33FF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Przyjmuje się, że 1% = 1 pkt i tak zostanie przeliczona liczba punktów w przyjętych kryteriach. </w:t>
      </w:r>
    </w:p>
    <w:p w14:paraId="7911CB1B" w14:textId="77777777" w:rsidR="00BE33FF" w:rsidRPr="00CE656C" w:rsidRDefault="00BE33FF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6D9395AA" w14:textId="1B9B4459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Maksymalna liczna punktów, jaką może uzyskać Wykonawca =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100,00 punktów.</w:t>
      </w:r>
    </w:p>
    <w:p w14:paraId="1F5F5DF2" w14:textId="77777777" w:rsidR="00BE33FF" w:rsidRPr="00CE656C" w:rsidRDefault="00BE33FF" w:rsidP="00BE33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51E18B73" w14:textId="5FEB0FEC" w:rsidR="00617E4C" w:rsidRPr="00CE656C" w:rsidRDefault="00617E4C" w:rsidP="00BE33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Kryterium nr 1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– Cena</w:t>
      </w:r>
      <w:r w:rsidR="00BE33FF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brutto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: </w:t>
      </w:r>
      <w:r w:rsidR="0027562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będzie rozpatrywana na podstawie ceny brutto za wykonanie przedmiotu zamówienia, podanej przez Wykonawcę w Formularzu Oferty</w:t>
      </w:r>
      <w:r w:rsidR="00E2658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  <w:r w:rsidR="0027562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Każda oferta poddana ocenie otrzyma zaokrągloną do dwóch miejsc po przecinku liczbę punktów wynikającą ze wzoru:</w:t>
      </w:r>
    </w:p>
    <w:p w14:paraId="31CF4981" w14:textId="77777777" w:rsidR="00146987" w:rsidRPr="001B2D17" w:rsidRDefault="00146987" w:rsidP="00BE33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54AF9BCF" w14:textId="196EFEAA" w:rsidR="00617E4C" w:rsidRPr="00BE33FF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P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(x)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 =C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min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/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C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x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×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BE33F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100</w:t>
      </w:r>
      <w:r w:rsid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 x </w:t>
      </w:r>
      <w:r w:rsidR="005C6848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7</w:t>
      </w:r>
      <w:r w:rsidR="00B31C6E" w:rsidRPr="00B31C6E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0,00%</w:t>
      </w:r>
      <w:r w:rsidRPr="00BE33FF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, gdzie:</w:t>
      </w:r>
    </w:p>
    <w:p w14:paraId="47A49756" w14:textId="77777777" w:rsidR="00BE33FF" w:rsidRDefault="00BE33FF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6FF936A7" w14:textId="246EBF10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vertAlign w:val="subscript"/>
          <w:lang w:eastAsia="pl-PL"/>
        </w:rPr>
        <w:t>(x)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liczba punktów otrzymanych przez ofertę „x”</w:t>
      </w:r>
    </w:p>
    <w:p w14:paraId="46B2986F" w14:textId="77777777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vertAlign w:val="subscript"/>
          <w:lang w:eastAsia="pl-PL"/>
        </w:rPr>
        <w:t>min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najniższa cena spośród wszystkich ważnych i nieodrzuconych ofert</w:t>
      </w:r>
    </w:p>
    <w:p w14:paraId="4C8EA63A" w14:textId="6A3CB54F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C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vertAlign w:val="subscript"/>
          <w:lang w:eastAsia="pl-PL"/>
        </w:rPr>
        <w:t>x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cena podana w badanej ofercie</w:t>
      </w:r>
      <w:r w:rsidR="00BE33FF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badanej „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x”</w:t>
      </w:r>
    </w:p>
    <w:p w14:paraId="4AEE5091" w14:textId="6EE05320" w:rsidR="001A63FA" w:rsidRPr="00CE656C" w:rsidRDefault="00B12531" w:rsidP="001A6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Uwaga!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br/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Wszelkie wartości należy wyrazić w złotych polskich w zaokrągleniu do dwóch miejsc po przecinku. Cenę należy wyliczyć wypełniając tabelę zamieszczoną w formularzu cen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Wykonawca jest zobowiązany skalkulować cenę oferty z uwzględnieniem wszystkich pozycji wyszczególnionych w wykazie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. Wykonawca musi wskazać koszt jednostkowy netto dla 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 xml:space="preserve">poszczególnych asortymentów i na ich podstawie wyliczyć wartość brutto oddzielnie dla każdej pozycji asortymentowej. Następnie należy dokonać sumowania wprowadzonych wartości netto i brutto oraz wpisać </w:t>
      </w:r>
      <w:r w:rsidR="001D22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uzyskane wartości 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pozycję </w:t>
      </w:r>
      <w:r w:rsidR="001A63FA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RAZEM</w:t>
      </w:r>
      <w:r w:rsidR="001A63F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a następnie przenieść wyliczone kwoty do formularza ofertowego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sporządzonego wg wzoru stanowiącego załącznik do niniejszego zapytania ofertowego. </w:t>
      </w:r>
    </w:p>
    <w:p w14:paraId="63A39283" w14:textId="75B6BC98" w:rsidR="005C6848" w:rsidRPr="00CE656C" w:rsidRDefault="00B31C6E" w:rsidP="005C68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Kryterium nr 2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– Termin realizacji: </w:t>
      </w:r>
      <w:r w:rsidR="00E2658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będzie rozpatrywany na podstawie wskazanego przez Wykonawcę terminu realizacji</w:t>
      </w:r>
      <w:r w:rsidR="004E79B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(liczonego </w:t>
      </w:r>
      <w:r w:rsidR="00E2658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od daty zawarcia umowy</w:t>
      </w:r>
      <w:r w:rsidR="004E79B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="00E2658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przedmiotu zamówienia w Formularzu Oferty. </w:t>
      </w:r>
      <w:r w:rsidR="005C684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Przyznawanie ilości punktów poszczególnym ofertom</w:t>
      </w:r>
      <w:r w:rsidR="009B1D2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poddanym ocenie</w:t>
      </w:r>
      <w:r w:rsidR="005C684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odbywać się będzie wg następując</w:t>
      </w:r>
      <w:r w:rsidR="009B1D2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ych zasad</w:t>
      </w:r>
      <w:r w:rsidR="005C684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5B0D9307" w14:textId="77777777" w:rsidR="009B1D2A" w:rsidRPr="00CE656C" w:rsidRDefault="009B1D2A" w:rsidP="005C68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15388EF3" w14:textId="709AECC0" w:rsidR="005C6848" w:rsidRPr="00CE656C" w:rsidRDefault="005C6848" w:rsidP="005C684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- za zaoferowanie terminu realizacji przedmiotu zamówienia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do 7 dni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licząc od dnia zawarcia (podpisania) umowy</w:t>
      </w:r>
      <w:r w:rsidR="005E3F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5E3F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(tj.</w:t>
      </w:r>
      <w:r w:rsidR="005E3F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5E3F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1, 2, 3, 4, 5, 6, 7 dni)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Wykonawca otrzyma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30,00 punktów (30,00%)</w:t>
      </w:r>
      <w:r w:rsidR="008948D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 danym kryterium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</w:p>
    <w:p w14:paraId="138154EC" w14:textId="41C5A194" w:rsidR="005C6848" w:rsidRPr="00CE656C" w:rsidRDefault="005C6848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 za zaoferowanie terminu realizacji przedmiotu zamówienia</w:t>
      </w:r>
      <w:r w:rsidR="008948D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 przedziale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powyżej 7 dni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i do 9 dni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licząc od dnia zawarcia (podpisania) umowy</w:t>
      </w:r>
      <w:r w:rsidR="005E3F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5E3F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(tj. 8, 9 dni)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Wykonawca otrzyma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20,00 punktów (20,00%)</w:t>
      </w:r>
      <w:r w:rsidR="008948D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 danym kryterium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</w:p>
    <w:p w14:paraId="038DCC9D" w14:textId="16D7D9DA" w:rsidR="008948D4" w:rsidRPr="00CE656C" w:rsidRDefault="008948D4" w:rsidP="008948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- za zaoferowanie terminu realizacji przedmiotu zamówienia w przedziale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powyżej 9 dni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i do 11 dni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licząc od dnia zawarcia (podpisania) umowy</w:t>
      </w:r>
      <w:r w:rsidR="005E3F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5E3F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(tj. 10, 11 dni)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Wykonawca otrzyma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10,00 punktów (10,00%)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danym kryterium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,</w:t>
      </w:r>
    </w:p>
    <w:p w14:paraId="464A5578" w14:textId="761D91BD" w:rsidR="008948D4" w:rsidRPr="00CE656C" w:rsidRDefault="008948D4" w:rsidP="008948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-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 zaoferowanie terminu realizacji przedmiotu zamówienia </w:t>
      </w:r>
      <w:r w:rsidR="005E3F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powyżej 11 dni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do 14 dni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licząc od dnia zawarcia (podpisania) umowy</w:t>
      </w:r>
      <w:r w:rsidR="005E3F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5E3F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(tj. 12, 13, 14 dni)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Wykonawca otrzyma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0,00 punktów (0,00%)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danym kryterium.</w:t>
      </w:r>
    </w:p>
    <w:p w14:paraId="1EB7675D" w14:textId="77777777" w:rsidR="008948D4" w:rsidRPr="00CE656C" w:rsidRDefault="008948D4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4B11EBC3" w14:textId="77777777" w:rsidR="005C6848" w:rsidRPr="00CE656C" w:rsidRDefault="005C6848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Założenie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6B6DAD7E" w14:textId="4C954B68" w:rsidR="00E26582" w:rsidRPr="00CE656C" w:rsidRDefault="005C6848" w:rsidP="005C684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Termin realizacji liczony w pełnych dniach, tj. liczba całkowita od 1 do 14. </w:t>
      </w:r>
    </w:p>
    <w:p w14:paraId="2501AFF3" w14:textId="77777777" w:rsidR="005C6848" w:rsidRPr="00CE656C" w:rsidRDefault="00E26582" w:rsidP="005C684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przypadku zadeklarowania przez Wykonawcę terminu realizacji powyżej 14 dni licząc od dnia zawarcia (podpisania) umowy, Zamawiający ofertę odrzuci. </w:t>
      </w:r>
    </w:p>
    <w:p w14:paraId="11291270" w14:textId="6905F7D6" w:rsidR="00E26582" w:rsidRPr="00CE656C" w:rsidRDefault="00E26582" w:rsidP="005C684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Wykonawca nie wykaże w ofercie terminu realizacji, Zamawiający odrzuci ofertę.</w:t>
      </w:r>
    </w:p>
    <w:p w14:paraId="4F3BE9CC" w14:textId="77777777" w:rsidR="00BE33FF" w:rsidRPr="00CE656C" w:rsidRDefault="00BE33FF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178BD8FD" w14:textId="7A3C0E18" w:rsidR="00617E4C" w:rsidRPr="000467F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</w:pPr>
      <w:r w:rsidRPr="000467F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 xml:space="preserve">Maksymalna liczba punktów, </w:t>
      </w:r>
      <w:r w:rsidR="00BE33FF" w:rsidRPr="000467F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 xml:space="preserve">jaką może uzyskać Wykonawca i być przyznana </w:t>
      </w:r>
      <w:r w:rsidRPr="000467F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u w:val="single"/>
          <w:lang w:eastAsia="pl-PL"/>
        </w:rPr>
        <w:t>ofercie: 100,00.</w:t>
      </w:r>
    </w:p>
    <w:p w14:paraId="6B10142F" w14:textId="77777777" w:rsidR="00617E4C" w:rsidRPr="00CE656C" w:rsidRDefault="00617E4C" w:rsidP="0020085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</w:p>
    <w:p w14:paraId="05CE8BBF" w14:textId="77777777" w:rsidR="00CC0C50" w:rsidRPr="00CE656C" w:rsidRDefault="00617E4C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Obliczając punktację dla poszczególnych ofert, Zamawiający zastosuje zaokrąglenie do dwóch miejsc po przecinku. Za najkorzystniejszą uznana zostanie oferta, która uzyska najwyższą łączną liczbę punktów przyznaną </w:t>
      </w:r>
      <w:r w:rsidR="00CC0C50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poszczególnych kryteriach i przypisanych im procentowo znaczeń. </w:t>
      </w:r>
    </w:p>
    <w:p w14:paraId="5AF62AAA" w14:textId="77777777" w:rsidR="00CC0C50" w:rsidRPr="00CE656C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</w:p>
    <w:p w14:paraId="5EFF06AC" w14:textId="7A61ADA5" w:rsidR="00CC0C50" w:rsidRPr="00B31C6E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 w:rsidRPr="00B31C6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Całkowita liczba punktów przyznana ofercie</w:t>
      </w:r>
      <w:r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 xml:space="preserve">= </w:t>
      </w:r>
      <w:r w:rsidR="00B31C6E"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P</w:t>
      </w:r>
      <w:r w:rsidR="00B31C6E"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vertAlign w:val="subscript"/>
          <w:lang w:eastAsia="pl-PL"/>
        </w:rPr>
        <w:t>(x)</w:t>
      </w:r>
      <w:r w:rsidR="00B31C6E"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 </w:t>
      </w:r>
      <w:r w:rsidRPr="00CC0C50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+ LT</w:t>
      </w:r>
      <w:r w:rsidRPr="00CC0C50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, </w:t>
      </w:r>
      <w:r w:rsidRPr="00B31C6E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gdzie: </w:t>
      </w:r>
      <w:r w:rsidRPr="00B31C6E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ab/>
      </w:r>
      <w:r w:rsidRPr="00CC0C50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</w:r>
    </w:p>
    <w:p w14:paraId="78AFDCDB" w14:textId="5489A237" w:rsidR="00CC0C50" w:rsidRPr="00CE656C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P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vertAlign w:val="subscript"/>
          <w:lang w:eastAsia="pl-PL"/>
        </w:rPr>
        <w:t>(x)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– liczba punktów przyznana ofercie w kryterium cena brutto.</w:t>
      </w:r>
    </w:p>
    <w:p w14:paraId="0F360E57" w14:textId="3F21078D" w:rsidR="00CC0C50" w:rsidRPr="00CE656C" w:rsidRDefault="00CC0C50" w:rsidP="00CC0C5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LT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– liczba punktów przyznana ofercie w kryterium termin realizacji.</w:t>
      </w:r>
    </w:p>
    <w:p w14:paraId="268961BB" w14:textId="77777777" w:rsidR="000467FC" w:rsidRDefault="000467FC" w:rsidP="000467FC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</w:pPr>
    </w:p>
    <w:p w14:paraId="214EF724" w14:textId="271688C3" w:rsidR="00200852" w:rsidRPr="00CE656C" w:rsidRDefault="00B31C6E" w:rsidP="000467FC">
      <w:p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lastRenderedPageBreak/>
        <w:t xml:space="preserve">W przypadku, gdy nie da się wyłonić oferty najkorzystniejszej ze względu na to, że minimum dwie oferty mają równą liczbę punktów, Zamawiający zastosuje właściwą procedurę określoną w art. 248 ustawy </w:t>
      </w:r>
      <w:r w:rsidR="00D749AE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z dnia 11 września 2019 r. Prawo zamówień publicznych.</w:t>
      </w:r>
    </w:p>
    <w:p w14:paraId="44B5D081" w14:textId="77777777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VI. Miejsce, termin i sposób składania i przygotowania ofert</w:t>
      </w:r>
    </w:p>
    <w:p w14:paraId="18C24568" w14:textId="676CF632" w:rsidR="003F60F5" w:rsidRPr="00CE656C" w:rsidRDefault="00617E4C" w:rsidP="003855CB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Ofertę cenową</w:t>
      </w:r>
      <w:r w:rsidR="004E79B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kwocie brutto z wyszczególnieniem kwot netto oraz VAT należy przesłać</w:t>
      </w:r>
      <w:r w:rsidR="008230D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8F23F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Zamawiającemu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na formularzu ofertowym [stanowiącym Załącznik Nr 1]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do dnia </w:t>
      </w:r>
      <w:r w:rsidR="00936B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19</w:t>
      </w:r>
      <w:r w:rsidR="00645143" w:rsidRPr="00CE656C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 </w:t>
      </w:r>
      <w:r w:rsidR="00757B73" w:rsidRPr="00CE656C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>lipca</w:t>
      </w:r>
      <w:r w:rsidR="00450258" w:rsidRPr="00CE656C">
        <w:rPr>
          <w:rFonts w:asciiTheme="majorHAnsi" w:eastAsia="Times New Roman" w:hAnsiTheme="majorHAnsi" w:cs="Times New Roman"/>
          <w:b/>
          <w:bCs/>
          <w:sz w:val="25"/>
          <w:szCs w:val="25"/>
          <w:lang w:eastAsia="pl-PL"/>
        </w:rPr>
        <w:t xml:space="preserve"> 2021 r.</w:t>
      </w:r>
      <w:r w:rsidRPr="00CE656C">
        <w:rPr>
          <w:rFonts w:asciiTheme="majorHAnsi" w:eastAsia="Times New Roman" w:hAnsiTheme="majorHAnsi" w:cs="Times New Roman"/>
          <w:b/>
          <w:bCs/>
          <w:color w:val="C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roku</w:t>
      </w:r>
      <w:r w:rsidR="0013497B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</w:t>
      </w:r>
      <w:r w:rsidR="0013497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(końca dnia)</w:t>
      </w:r>
      <w:r w:rsidR="005F47B8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drogą elektroniczną na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adres</w:t>
      </w:r>
      <w:r w:rsidR="005F08EF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  <w:r w:rsidRPr="0013497B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 </w:t>
      </w:r>
      <w:hyperlink r:id="rId9" w:history="1">
        <w:r w:rsidR="00C77020" w:rsidRPr="00C77020">
          <w:rPr>
            <w:rStyle w:val="Hipercze"/>
            <w:sz w:val="28"/>
            <w:szCs w:val="28"/>
          </w:rPr>
          <w:t>kpodlaszewska@gminachelmza.pl</w:t>
        </w:r>
      </w:hyperlink>
      <w:r w:rsidR="00C77020">
        <w:t xml:space="preserve"> </w:t>
      </w:r>
      <w:r w:rsidR="005F47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temacie: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„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Oferta</w:t>
      </w:r>
      <w:r w:rsidR="00936B24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: Posiłek w szkole </w:t>
      </w:r>
      <w:r w:rsidR="004E79B7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i w</w:t>
      </w:r>
      <w:r w:rsidR="00936B24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 domu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”</w:t>
      </w:r>
      <w:r w:rsidR="005F47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01AB471C" w14:textId="7505EAC5" w:rsidR="005E3F24" w:rsidRPr="00CE656C" w:rsidRDefault="005E3F24" w:rsidP="005E3F2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Kompletna oferta musi zawierać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2D5269C0" w14:textId="4F508196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oferty;</w:t>
      </w:r>
    </w:p>
    <w:p w14:paraId="3A6F9A43" w14:textId="77777777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cen;</w:t>
      </w:r>
    </w:p>
    <w:p w14:paraId="45835033" w14:textId="43607210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Oświadczenie Wykonawcy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aktualne na dzień składania oferty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);</w:t>
      </w:r>
    </w:p>
    <w:p w14:paraId="1A2DEAED" w14:textId="6FC9D28E" w:rsidR="005E3F24" w:rsidRPr="00CE656C" w:rsidRDefault="005E3F24" w:rsidP="005E3F24">
      <w:pPr>
        <w:shd w:val="clear" w:color="auto" w:fill="FFFFFF"/>
        <w:spacing w:after="0" w:line="240" w:lineRule="auto"/>
        <w:ind w:left="1788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Sporządzony(e) na podstawie wzoru stanowiącego załącznik do niniejszego zapytania ofertowego (ogłoszenia o zamówieniu).</w:t>
      </w:r>
    </w:p>
    <w:p w14:paraId="4868B139" w14:textId="12FDD522" w:rsidR="005E3F24" w:rsidRPr="00CE656C" w:rsidRDefault="005E3F24" w:rsidP="005E3F24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Pełnomocnictwo(a), jeśli dotyczy.</w:t>
      </w:r>
    </w:p>
    <w:p w14:paraId="4AEEE88C" w14:textId="77777777" w:rsidR="00506EBD" w:rsidRPr="00CE656C" w:rsidRDefault="004A7CA0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Każdy Wykonawca może złożyć tylko jedną ofertę</w:t>
      </w:r>
      <w:r w:rsidR="00DD218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  <w:r w:rsidR="00506EBD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</w:p>
    <w:p w14:paraId="161A7508" w14:textId="5C7A0D89" w:rsidR="004A7CA0" w:rsidRPr="00CE656C" w:rsidRDefault="00506EBD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Zamawiający nie dopuszcza składania ofert częściowych. Wykonawca składa ofertę w odniesieniu do realizacji pełnego zakresu przedmiotu zamówienia. </w:t>
      </w:r>
    </w:p>
    <w:p w14:paraId="3BAC2B00" w14:textId="1E07E0D0" w:rsidR="003F60F5" w:rsidRPr="00CE656C" w:rsidRDefault="003F60F5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 datę przekazania oferty, wniosków, zawiadomień, dokumentów elektronicznych, oświadczeń lub elektronicznych kopii dokumentów lub oświadczeń oraz innych informacji przyjmuje się datę ich skutecznego przesłania na wskazany </w:t>
      </w:r>
      <w:r w:rsidR="00CE08B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powyżej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 pkt 1 adres e-mail. </w:t>
      </w:r>
    </w:p>
    <w:p w14:paraId="5E98BAAE" w14:textId="796B422E" w:rsidR="003F60F5" w:rsidRPr="00CE656C" w:rsidRDefault="005F47B8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Oferta wraz z załącznikami</w:t>
      </w:r>
      <w:r w:rsidR="00861755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musi zostać sporządzona </w:t>
      </w:r>
      <w:r w:rsidR="00DD2187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w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języku polskim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u w:val="single"/>
          <w:lang w:eastAsia="pl-PL"/>
        </w:rPr>
        <w:t>dokumenty sporządzone w języku obcym muszą być złożone wraz z tłumaczeniem na język polski, wystarczające jest tłumaczenie Wykonawcy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)</w:t>
      </w:r>
      <w:r w:rsidR="008230DA"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 xml:space="preserve"> i złożona w postaci:</w:t>
      </w:r>
    </w:p>
    <w:p w14:paraId="0EA52FFD" w14:textId="3385D43F" w:rsidR="003F60F5" w:rsidRPr="00CE656C" w:rsidRDefault="007F0DF4" w:rsidP="005E3F2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czytelnego </w:t>
      </w:r>
      <w:r w:rsidR="003F60F5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skanu podpisanego dokumentu lub</w:t>
      </w:r>
    </w:p>
    <w:p w14:paraId="48EFD137" w14:textId="23E35164" w:rsidR="005F47B8" w:rsidRPr="00CE656C" w:rsidRDefault="005F47B8" w:rsidP="005E3F2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elektronicznej</w:t>
      </w:r>
      <w:r w:rsidR="007F0DF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podpisan</w:t>
      </w:r>
      <w:r w:rsidR="007F0DF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ej: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kwalifikowanym podpisem elektronicznym</w:t>
      </w:r>
      <w:r w:rsidR="007F0DF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lub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podpisem osobistym lub podpisem zaufanym pod rygorem nieważności.</w:t>
      </w:r>
    </w:p>
    <w:p w14:paraId="289E397D" w14:textId="1DF8E2FB" w:rsidR="00A8583B" w:rsidRPr="00CE656C" w:rsidRDefault="00617E4C" w:rsidP="00934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ofertowy oraz załączniki muszą być podpisane przez osobę/y składającą/ce Ofertę.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Do Oferty należy dostarczyć pełnomocnictwo do podpisania oferty, o ile prawo do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podpisania oferty nie wynika z innych dokumentów złożonych wraz z ofertą lub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="00A8583B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ogólnodostępnych baz/ rejestrów. Treść pełnomocnictwa powinna jednoznacznie określać czynności, co do wykonywania, których pełnomocnik jest upoważniony.</w:t>
      </w:r>
    </w:p>
    <w:p w14:paraId="48D58A25" w14:textId="7DD939C6" w:rsidR="00617E4C" w:rsidRPr="00CE656C" w:rsidRDefault="00617E4C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Oferty złożone po terminie oraz niezgodnie ze sposobem złożenia określonym w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zapytaniu nie będą rozpatrywane.</w:t>
      </w:r>
    </w:p>
    <w:p w14:paraId="420E29B0" w14:textId="137A2DA2" w:rsidR="00C72745" w:rsidRPr="00CE656C" w:rsidRDefault="00C72745" w:rsidP="005E3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Wykonawca jest związany ofertą przez okres 30 dni licząc od dnia, w którym upływa dzień na składanie ofert.</w:t>
      </w:r>
    </w:p>
    <w:p w14:paraId="43219524" w14:textId="77777777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VII. Warunki udziału w postępowaniu</w:t>
      </w:r>
    </w:p>
    <w:p w14:paraId="1C6003DC" w14:textId="33F91383" w:rsidR="001C0AA0" w:rsidRPr="00CE656C" w:rsidRDefault="001C0AA0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  <w:t xml:space="preserve">O udzielenie zamówienia mogą ubiegać się Wykonawcy, którzy spełniają warunki dotyczące posiadania uprawnień do wykonywania określonej działalności lub czynności, jeżeli przepisy </w:t>
      </w:r>
      <w:r w:rsidRPr="00CE656C"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  <w:lastRenderedPageBreak/>
        <w:t>nakładają obowiązek ich posiadania, posiadania wiedzy i doświadczenia w zakresie realizacji zamówień o charakterze zbliżonym do przedmiotu zamówienia, dysponowania potencjałem technicznym oraz osobami zdolnymi do wykonywania zamówienia, sytuacji ekonomicznej i finansowej.</w:t>
      </w:r>
    </w:p>
    <w:p w14:paraId="756E6499" w14:textId="77777777" w:rsidR="001C0AA0" w:rsidRPr="00CE656C" w:rsidRDefault="001C0AA0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</w:p>
    <w:p w14:paraId="6EEE7E8D" w14:textId="3F8F57EB" w:rsidR="005F08EF" w:rsidRPr="00CE656C" w:rsidRDefault="00CC1135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Mając na względzie powyższe, Zamawiający informuje, iż o</w:t>
      </w:r>
      <w:r w:rsidR="000A5AAF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udzielenie zamówienia mogą ubiegać się Wykonawcy, którzy spełniają warunki udziału w postępowaniu</w:t>
      </w:r>
      <w:r w:rsidR="00805A0F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, pod warunkiem, iż</w:t>
      </w:r>
      <w:r w:rsidR="000A5AAF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: </w:t>
      </w:r>
    </w:p>
    <w:p w14:paraId="0FAF1C29" w14:textId="4BD80CFD" w:rsidR="00AA0F5A" w:rsidRPr="00CE656C" w:rsidRDefault="00AA0F5A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</w:p>
    <w:p w14:paraId="0F98931A" w14:textId="622DDF0A" w:rsidR="00CC1135" w:rsidRPr="00CE656C" w:rsidRDefault="00AA0F5A" w:rsidP="00B231C3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>w zakresie posiadanego doświadczenia:</w:t>
      </w:r>
      <w:r w:rsidR="00EE1374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 </w:t>
      </w:r>
      <w:r w:rsidR="00CC1135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Wykonawca wykonał należycie nie wcześniej niż w okresie ostatnich 3 lat, a jeżeli okres prowadzenia działalności jest krótszy – w tym okresie (</w:t>
      </w:r>
      <w:r w:rsidR="00CC1135" w:rsidRPr="00CE656C">
        <w:rPr>
          <w:rFonts w:asciiTheme="majorHAnsi" w:eastAsia="Times New Roman" w:hAnsiTheme="majorHAnsi" w:cs="Times New Roman"/>
          <w:i/>
          <w:iCs/>
          <w:color w:val="000000" w:themeColor="text1"/>
          <w:sz w:val="25"/>
          <w:szCs w:val="25"/>
          <w:lang w:eastAsia="pl-PL"/>
        </w:rPr>
        <w:t>licząc wstecz od dnia, w którym upływa termin składania ofert</w:t>
      </w:r>
      <w:r w:rsidR="00CC1135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) minimum jedno </w:t>
      </w:r>
      <w:r w:rsidR="00D444B4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kompleksowe </w:t>
      </w:r>
      <w:r w:rsidR="00CC1135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zamówienie (</w:t>
      </w:r>
      <w:r w:rsidR="00CC1135" w:rsidRPr="00CE656C">
        <w:rPr>
          <w:rFonts w:asciiTheme="majorHAnsi" w:eastAsia="Times New Roman" w:hAnsiTheme="majorHAnsi" w:cs="Times New Roman"/>
          <w:i/>
          <w:color w:val="000000" w:themeColor="text1"/>
          <w:sz w:val="25"/>
          <w:szCs w:val="25"/>
          <w:lang w:eastAsia="pl-PL"/>
        </w:rPr>
        <w:t>w tym</w:t>
      </w:r>
      <w:r w:rsidR="000E3B33" w:rsidRPr="00CE656C">
        <w:rPr>
          <w:rFonts w:asciiTheme="majorHAnsi" w:eastAsia="Times New Roman" w:hAnsiTheme="majorHAnsi" w:cs="Times New Roman"/>
          <w:i/>
          <w:color w:val="000000" w:themeColor="text1"/>
          <w:sz w:val="25"/>
          <w:szCs w:val="25"/>
          <w:lang w:eastAsia="pl-PL"/>
        </w:rPr>
        <w:t>:</w:t>
      </w:r>
      <w:r w:rsidR="00CC1135" w:rsidRPr="00CE656C">
        <w:rPr>
          <w:rFonts w:asciiTheme="majorHAnsi" w:eastAsia="Times New Roman" w:hAnsiTheme="majorHAnsi" w:cs="Times New Roman"/>
          <w:i/>
          <w:color w:val="000000" w:themeColor="text1"/>
          <w:sz w:val="25"/>
          <w:szCs w:val="25"/>
          <w:lang w:eastAsia="pl-PL"/>
        </w:rPr>
        <w:t xml:space="preserve"> zadanie, umowę</w:t>
      </w:r>
      <w:r w:rsidR="00D444B4" w:rsidRPr="00CE656C">
        <w:rPr>
          <w:rFonts w:asciiTheme="majorHAnsi" w:eastAsia="Times New Roman" w:hAnsiTheme="majorHAnsi" w:cs="Times New Roman"/>
          <w:i/>
          <w:color w:val="000000" w:themeColor="text1"/>
          <w:sz w:val="25"/>
          <w:szCs w:val="25"/>
          <w:lang w:eastAsia="pl-PL"/>
        </w:rPr>
        <w:t>, zlecenie</w:t>
      </w:r>
      <w:r w:rsidR="00CC1135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) </w:t>
      </w:r>
      <w:r w:rsidR="00DF26B9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– zbliżone rodzajowo do przedmiotu zamówienia, polegające na dostawie sprzętu</w:t>
      </w:r>
      <w:r w:rsidR="00D444B4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/ urządzeń </w:t>
      </w:r>
      <w:r w:rsidR="00DF26B9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na wyposażenie kuchni i/lub stołówki</w:t>
      </w:r>
      <w:r w:rsidR="00D444B4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dla szkoły lub przedszkola</w:t>
      </w:r>
      <w:r w:rsidR="00DF26B9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, o</w:t>
      </w:r>
      <w:r w:rsidR="00D444B4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łącznej</w:t>
      </w:r>
      <w:r w:rsidR="00DF26B9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 wartości </w:t>
      </w:r>
      <w:r w:rsidR="00D444B4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 xml:space="preserve">dostawy </w:t>
      </w:r>
      <w:r w:rsidR="00DF26B9" w:rsidRPr="00CE656C"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  <w:t>nie mniejszej niż 80 000,00 (słownie: osiemdziesiąt tysięcy 00/100 zł).</w:t>
      </w:r>
    </w:p>
    <w:p w14:paraId="7844C4F4" w14:textId="77777777" w:rsidR="00CC1135" w:rsidRPr="00CE656C" w:rsidRDefault="00CC1135" w:rsidP="00805A0F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color w:val="000000" w:themeColor="text1"/>
          <w:sz w:val="25"/>
          <w:szCs w:val="25"/>
          <w:lang w:eastAsia="pl-PL"/>
        </w:rPr>
      </w:pPr>
    </w:p>
    <w:p w14:paraId="2FE41273" w14:textId="72E35A20" w:rsidR="00AC2B77" w:rsidRPr="00CE656C" w:rsidRDefault="00A31CC0" w:rsidP="000B711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>Weryfikacja, o</w:t>
      </w:r>
      <w:r w:rsidR="00AC2B77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cena </w:t>
      </w:r>
      <w:r w:rsidR="00861755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spełniania warunków udziału w postępowaniu </w:t>
      </w:r>
      <w:r w:rsidR="00AC2B77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zostanie dokonana w oparciu o oświadczenie Wykonawcy składane </w:t>
      </w:r>
      <w:r w:rsidR="00861755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>wraz z ofertą.</w:t>
      </w:r>
      <w:r w:rsidR="00EE1374" w:rsidRPr="00CE656C">
        <w:rPr>
          <w:rFonts w:asciiTheme="majorHAnsi" w:eastAsia="Times New Roman" w:hAnsiTheme="majorHAnsi" w:cs="Times New Roman"/>
          <w:b/>
          <w:bCs/>
          <w:color w:val="000000" w:themeColor="text1"/>
          <w:sz w:val="25"/>
          <w:szCs w:val="25"/>
          <w:lang w:eastAsia="pl-PL"/>
        </w:rPr>
        <w:t xml:space="preserve"> Zamawiający nie przewiduje możliwości uzupełnienia niniejszego oświadczenia na późniejszym etapie prowadzonego postępowania. </w:t>
      </w:r>
    </w:p>
    <w:p w14:paraId="641AEFE2" w14:textId="7871A829" w:rsidR="00AC2B77" w:rsidRPr="00CE656C" w:rsidRDefault="00AC2B77" w:rsidP="005F08E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5"/>
          <w:szCs w:val="25"/>
          <w:lang w:eastAsia="pl-PL"/>
        </w:rPr>
      </w:pPr>
    </w:p>
    <w:p w14:paraId="2C0523D3" w14:textId="6F65983D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 xml:space="preserve">VIII. </w:t>
      </w:r>
      <w:r w:rsidR="00C72745">
        <w:rPr>
          <w:rFonts w:eastAsia="Times New Roman"/>
          <w:lang w:eastAsia="pl-PL"/>
        </w:rPr>
        <w:t>Badanie i ocena ofert</w:t>
      </w:r>
    </w:p>
    <w:p w14:paraId="38AED39D" w14:textId="3C22DCAE" w:rsidR="00C72745" w:rsidRPr="00CE656C" w:rsidRDefault="00C72745" w:rsidP="003855CB">
      <w:pPr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toku badania i oceny ofert Zamawiający może żądać od Wykonawców wyjaśnień dotyczących treści złożonych ofert</w:t>
      </w:r>
      <w:r w:rsidR="005F47B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dokumentów lub oświadczeń</w:t>
      </w:r>
      <w:r w:rsidR="00274BD3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w tym:</w:t>
      </w:r>
    </w:p>
    <w:p w14:paraId="2078C8A5" w14:textId="52FD186F" w:rsidR="00274BD3" w:rsidRPr="00CE656C" w:rsidRDefault="00274BD3" w:rsidP="000300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zaoferowana cena w ocenie Zamawiającego będzie rażąco niska w stosunku do przedmiotu zamówienia</w:t>
      </w:r>
      <w:r w:rsidR="00311548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</w:t>
      </w:r>
      <w:r w:rsidR="00311548" w:rsidRPr="00311548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w tym w przypadku gdy cena całkowita oferty jest niższa o minimum 30% od: wartości zamówienia powiększonej o VAT lub średniej arytmetycznej cen wszystkich złożonych ofert</w:t>
      </w:r>
      <w:r w:rsidR="00311548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 budzić będzie wątpliwości co do możliwości wykonania przedmiotu zamówienia zgodnie z wymogami niniejszego zapytania lub wynikającymi z odrębnych przepisów, Zamawiający </w:t>
      </w:r>
      <w:r w:rsidR="00F2440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dopuszcza możliwość zwrócenia się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do wykonawcy o udzielenie wyjaśnień. </w:t>
      </w:r>
    </w:p>
    <w:p w14:paraId="21169259" w14:textId="2D928B54" w:rsidR="00EC7E50" w:rsidRPr="00CE656C" w:rsidRDefault="00EC7E50" w:rsidP="00EC7E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poprawia w ofercie oczywiste omyłki pisarskie, oczywiste omyłki rachunkowe z uwzględnieniem konsekwencji rachunkowych dokonanych poprawek i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inne omyłki polegające na niezgodności oferty z dokumentacji zamówienia, niepowodujących istotnych zmian w treści oferty. </w:t>
      </w:r>
    </w:p>
    <w:p w14:paraId="1F195E1B" w14:textId="55A7735C" w:rsidR="00C72745" w:rsidRPr="00CE656C" w:rsidRDefault="00C72745" w:rsidP="00C727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Treść oferty musi odpowiadać treści zapytania ofertowego. </w:t>
      </w:r>
    </w:p>
    <w:p w14:paraId="547ABCE5" w14:textId="33052A42" w:rsidR="0088028A" w:rsidRPr="00CE656C" w:rsidRDefault="0088028A" w:rsidP="00C727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odrzuci ofertę, jeżeli:</w:t>
      </w:r>
    </w:p>
    <w:p w14:paraId="6832E24B" w14:textId="768232F2" w:rsidR="0088028A" w:rsidRPr="00CE656C" w:rsidRDefault="00F409F8" w:rsidP="0088028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została złożona po terminie składania ofert;</w:t>
      </w:r>
    </w:p>
    <w:p w14:paraId="7BE972AF" w14:textId="2F80D510" w:rsidR="00F409F8" w:rsidRPr="00CE656C" w:rsidRDefault="00F409F8" w:rsidP="0088028A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jest nieważna na podstawie odrębnych przepisów;</w:t>
      </w:r>
    </w:p>
    <w:p w14:paraId="4F542A64" w14:textId="0EF0EA5B" w:rsidR="000B7112" w:rsidRPr="00CE656C" w:rsidRDefault="00F409F8" w:rsidP="000B711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jej treść jest niezgodna z warunkami zamówienia</w:t>
      </w:r>
      <w:r w:rsidR="000B711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w tym: Zamawiający zastrzega, iż w przypadku przekroczenia oferowanej ceny, kwoty przyjętej na zakup wyposażenia we wniosku o dofinansowanie projektu, oferta</w:t>
      </w:r>
      <w:r w:rsidR="004C478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Wykonawcy</w:t>
      </w:r>
      <w:r w:rsidR="000B711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nie będzie rozpatrywana</w:t>
      </w:r>
      <w:r w:rsidR="004C478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 będzie podlegała odrzuceniu</w:t>
      </w:r>
      <w:r w:rsidR="000B7112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454E3495" w14:textId="13196D39" w:rsidR="00F409F8" w:rsidRPr="00CE656C" w:rsidRDefault="00F409F8" w:rsidP="00B85E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nie została sporządzona lub przekazana w sposób zgodny z wymaganiami technicznymi oraz organizacyjnymi sporządzania lub przekazywania ofert przy użyciu środków komunikacji elektronicznej określonymi przez zamawiającego;</w:t>
      </w:r>
    </w:p>
    <w:p w14:paraId="1DBB40B2" w14:textId="466752DE" w:rsidR="00F24407" w:rsidRPr="00CE656C" w:rsidRDefault="00F24407" w:rsidP="00B85E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zawiera rażąco niską cenę lub koszt w stosunku do przedmiotu zamówienia (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>w przypadku badania</w:t>
      </w:r>
      <w:r w:rsidR="004C4789"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 i weryfikacji</w:t>
      </w:r>
      <w:r w:rsidRPr="00CE656C">
        <w:rPr>
          <w:rFonts w:asciiTheme="majorHAnsi" w:eastAsia="Times New Roman" w:hAnsiTheme="majorHAnsi" w:cs="Times New Roman"/>
          <w:i/>
          <w:iCs/>
          <w:color w:val="000000"/>
          <w:sz w:val="25"/>
          <w:szCs w:val="25"/>
          <w:lang w:eastAsia="pl-PL"/>
        </w:rPr>
        <w:t xml:space="preserve"> określonej przesłanki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)</w:t>
      </w:r>
    </w:p>
    <w:p w14:paraId="517FF095" w14:textId="00216F66" w:rsidR="00F409F8" w:rsidRPr="00CE656C" w:rsidRDefault="00F409F8" w:rsidP="00B85EB5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zawiera błędy w obliczeniu ceny lub kosztu;</w:t>
      </w:r>
    </w:p>
    <w:p w14:paraId="6F7DC842" w14:textId="1E8B0294" w:rsidR="00F409F8" w:rsidRPr="00CE656C" w:rsidRDefault="00F409F8" w:rsidP="0035734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została złożona w warunkach czynu nieuczciwej konkurencji w rozumieniu ustawy z dnia 16 kwietnia 1993 r. o zwalczaniu nieuczciwej konkurencji;</w:t>
      </w:r>
    </w:p>
    <w:p w14:paraId="2908D96F" w14:textId="47C88506" w:rsidR="00F409F8" w:rsidRPr="00CE656C" w:rsidRDefault="00F409F8" w:rsidP="00F409F8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wykonawca w wyznaczonym terminie zakwestionował poprawienie omyłki polegającej na niezgodności oferty z dokumentami zamówienia, niepowodującej zmiany w treści oferty;</w:t>
      </w:r>
    </w:p>
    <w:p w14:paraId="1A47B4FD" w14:textId="55EE3625" w:rsidR="00F409F8" w:rsidRPr="00CE656C" w:rsidRDefault="00F409F8" w:rsidP="00136349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wykonawca nie wyraził pisemnej zgody na przedłużenie terminu związania ofertą;</w:t>
      </w:r>
    </w:p>
    <w:p w14:paraId="3F939362" w14:textId="4AB158D2" w:rsidR="00C72745" w:rsidRPr="001B2D17" w:rsidRDefault="00C72745" w:rsidP="00C72745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 xml:space="preserve">IX. </w:t>
      </w:r>
      <w:r>
        <w:rPr>
          <w:rFonts w:eastAsia="Times New Roman"/>
          <w:lang w:eastAsia="pl-PL"/>
        </w:rPr>
        <w:t>Dodatkowe informacje</w:t>
      </w:r>
    </w:p>
    <w:p w14:paraId="791DB04A" w14:textId="0301000C" w:rsidR="004C4789" w:rsidRPr="00CE656C" w:rsidRDefault="004C4789" w:rsidP="00574734">
      <w:pPr>
        <w:pStyle w:val="Akapitzlist"/>
        <w:numPr>
          <w:ilvl w:val="0"/>
          <w:numId w:val="8"/>
        </w:numPr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Niniejsze postępowania nie podlega przepisom Prawo zamówień publicznych.</w:t>
      </w:r>
    </w:p>
    <w:p w14:paraId="38D9CC54" w14:textId="36A87F05" w:rsidR="00C52EE1" w:rsidRPr="00CE656C" w:rsidRDefault="00C52EE1" w:rsidP="00574734">
      <w:pPr>
        <w:pStyle w:val="Akapitzlist"/>
        <w:numPr>
          <w:ilvl w:val="0"/>
          <w:numId w:val="8"/>
        </w:numPr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u w:val="single"/>
          <w:lang w:eastAsia="pl-PL"/>
        </w:rPr>
        <w:t>Do prowadzonego postępowania nie przysługują Wykonawcom żadne środki ochrony prawnej określone w przepisach ustawy Prawo zamówień publicznych tj. odwołanie, skarga.</w:t>
      </w:r>
    </w:p>
    <w:p w14:paraId="35546784" w14:textId="5C21F1DA" w:rsidR="00574734" w:rsidRPr="00CE656C" w:rsidRDefault="00EC7E50" w:rsidP="0057473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Niniejsze postępowanie prowadzone jest na zasadach opartych na wewnętrznych uregulowaniach Zamawiającego. </w:t>
      </w:r>
      <w:r w:rsidR="0088028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Postępowanie prowadzone jest</w:t>
      </w:r>
      <w:r w:rsidR="00C72745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zgodnie z zasad</w:t>
      </w:r>
      <w:r w:rsidR="0057473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ami:</w:t>
      </w:r>
      <w:r w:rsidR="00C72745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konkurencyjności</w:t>
      </w:r>
      <w:r w:rsidR="0057473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, równego traktowania wykonawców oraz proporcjonalności i </w:t>
      </w:r>
      <w:r w:rsidR="00D444B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przejrzystości,</w:t>
      </w:r>
      <w:r w:rsidR="0057473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racjonalnego gospodarowania środkami publicznymi, w tym zasad wydatkowania środków publicznych w sposób celowy, oszczędny oraz umożliwiający terminową realizację zadań, a także zasady optymalnego doboru metod i środków w celu uzyskania najlepszych efektów z danych nakładów.</w:t>
      </w:r>
    </w:p>
    <w:p w14:paraId="2736CC05" w14:textId="31E3009C" w:rsidR="00EC7E50" w:rsidRPr="00CE656C" w:rsidRDefault="00EC7E50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zastrzega sobie prawo do zmiany zapytania ofertowego przed upływem terminu do składania ofert. Wszelkie zmiany treści zapytania ofertowego oraz</w:t>
      </w:r>
      <w:r w:rsidR="004C478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</w:t>
      </w:r>
      <w:r w:rsidR="00DD76A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ewentualne wyjaśnienia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udzielone na zapytania Wykonawcy stają się integralną częścią zapytania ofertowego i są wiążące dla Wykonawców.</w:t>
      </w:r>
    </w:p>
    <w:p w14:paraId="3BA75B4E" w14:textId="607EA31B" w:rsidR="001F7FBB" w:rsidRPr="00CE656C" w:rsidRDefault="001F7FBB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Zamawiający przewiduje możliwość prowadzenia negocjacji cenowych z wybranym wykonawcom lub wykonawcami, którzy złożyli ofertę w przedmiotowym postępowaniu. </w:t>
      </w:r>
    </w:p>
    <w:p w14:paraId="2789DE1C" w14:textId="73099FC1" w:rsidR="00C72745" w:rsidRPr="00CE656C" w:rsidRDefault="00C72745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zastrzega sobie prawo do unieważnienia niniejszego postępowania w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każdym czasie bez podania uzasadnienia, w tym także pozostawienia postępowania bez wyboru oferty.</w:t>
      </w:r>
    </w:p>
    <w:p w14:paraId="693E0789" w14:textId="37C17935" w:rsidR="00C72745" w:rsidRPr="00CE656C" w:rsidRDefault="00C72745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Wykonawcy, których oferty nie zostaną wybrane nie mogą zgłaszać żadnych roszczeń względem Zamawiającego z tytułu otrzymania zapytania ofertowego oraz</w:t>
      </w:r>
      <w:r w:rsidR="000C085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przygotowania i złożenia oferty na to zapytanie</w:t>
      </w:r>
      <w:r w:rsidR="0060416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 w tym nie przysługuje im prawo do zwrot</w:t>
      </w:r>
      <w:r w:rsidR="00CE656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u</w:t>
      </w:r>
      <w:r w:rsidR="0060416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kosztów udziału w postępowaniu.</w:t>
      </w:r>
    </w:p>
    <w:p w14:paraId="4C246538" w14:textId="77777777" w:rsidR="00153196" w:rsidRPr="00CE656C" w:rsidRDefault="00A8583B" w:rsidP="00574734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Zamawiający zastrzega sobie prawo</w:t>
      </w:r>
      <w:r w:rsidR="00C467E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(możliwość)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do zamieszczenia na stronie </w:t>
      </w:r>
      <w:r w:rsidR="00B90C7E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internetowej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prowadzonego postępowania informacji o</w:t>
      </w:r>
      <w:r w:rsidR="0015319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:</w:t>
      </w:r>
    </w:p>
    <w:p w14:paraId="27C8E058" w14:textId="60534E28" w:rsidR="00153196" w:rsidRPr="00CE656C" w:rsidRDefault="00CE08BB" w:rsidP="00574734">
      <w:pPr>
        <w:pStyle w:val="Akapitzlist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złożonych </w:t>
      </w:r>
      <w:r w:rsidR="00765647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ofertach</w:t>
      </w:r>
      <w:r w:rsidR="00153196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,</w:t>
      </w:r>
    </w:p>
    <w:p w14:paraId="7AA1CFF2" w14:textId="2EAC2AB8" w:rsidR="002A4EAA" w:rsidRPr="00CE656C" w:rsidRDefault="00A8583B" w:rsidP="00574734">
      <w:pPr>
        <w:pStyle w:val="Akapitzlist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lastRenderedPageBreak/>
        <w:t>wynikach postępowania</w:t>
      </w:r>
      <w:r w:rsidR="002A4EAA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(udzieleniu zamówienia)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. </w:t>
      </w:r>
    </w:p>
    <w:p w14:paraId="0BB3F24E" w14:textId="77E13503" w:rsidR="00C72745" w:rsidRPr="00CE656C" w:rsidRDefault="00C72745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Wykonawca, którego oferta zostanie wybrana zostanie powiadomiony pisemnie lub telefonicznie o wyborze jego oferty oraz o terminie </w:t>
      </w:r>
      <w:r w:rsidR="00F409F8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i miejscu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podpisania (zawarcia) umowy.</w:t>
      </w:r>
      <w:r w:rsidR="0003004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Ponadto, w wyznaczonym czasie Wykonawca, na wezwanie Zamawiającego (skierowane co najmniej drogą e-mail) w terminie przez niego wyznaczonym wskaże osobę/ osoby, które będą podpisywać umowę, poda wszelkie informacje niezbędne do wypełnienia treści umowy (wraz z załącznikami).</w:t>
      </w:r>
    </w:p>
    <w:p w14:paraId="6C9D4B31" w14:textId="6EA892E7" w:rsidR="00F409F8" w:rsidRPr="00CE656C" w:rsidRDefault="00F409F8" w:rsidP="005747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Jeżeli Wykonawca, którego oferta została wybrana uchyla się od podpisania</w:t>
      </w:r>
      <w:r w:rsidR="00CE656C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(zawarcia)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umowy, Zamawiający może wybrać ofertę najkorzystniejszą spośród pozostałych ofert.</w:t>
      </w:r>
    </w:p>
    <w:p w14:paraId="4E14C47C" w14:textId="77777777" w:rsidR="00574734" w:rsidRPr="00CE656C" w:rsidRDefault="00574734" w:rsidP="00D524EE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Zamawiający przewiduje możliwość zmiany postanowień umowy zawartej w wyniku przeprowadzonego postępowania o udzielenie zamówienia publicznego, na warunkach i zasadach określonych w projekcie umowy. </w:t>
      </w:r>
    </w:p>
    <w:p w14:paraId="058A96F8" w14:textId="4F60C28F" w:rsidR="00F409F8" w:rsidRPr="00CE656C" w:rsidRDefault="00F409F8" w:rsidP="00D524EE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 trakcie trwania umowy oraz w okresie gwarancji i rękojmi Wykonawca zobowiązuje się do pisemnego powiadamiania Zamawiającego o:</w:t>
      </w:r>
    </w:p>
    <w:p w14:paraId="30CE4E9C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zmianie siedziby lub nazwy firmy,</w:t>
      </w:r>
    </w:p>
    <w:p w14:paraId="75AA7815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zmianie osób reprezentujących,</w:t>
      </w:r>
    </w:p>
    <w:p w14:paraId="27CDAD6C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ogłoszeniu upadłości,</w:t>
      </w:r>
    </w:p>
    <w:p w14:paraId="1882E260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ogłoszeniu likwidacji,</w:t>
      </w:r>
    </w:p>
    <w:p w14:paraId="7033440E" w14:textId="77777777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zawieszeniu działalności,</w:t>
      </w:r>
    </w:p>
    <w:p w14:paraId="64AB9378" w14:textId="692B4644" w:rsidR="00F409F8" w:rsidRPr="00CE656C" w:rsidRDefault="00F409F8" w:rsidP="00574734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wszczęciu postępowania układowego, w którym uczestniczy Wykonawca</w:t>
      </w:r>
      <w:r w:rsidR="00C52EE1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.</w:t>
      </w:r>
    </w:p>
    <w:p w14:paraId="7685FB54" w14:textId="10A948C8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X. Kontakt z zamawiającym</w:t>
      </w:r>
    </w:p>
    <w:p w14:paraId="74D5F0D2" w14:textId="04B54330" w:rsidR="009E287E" w:rsidRPr="00CE656C" w:rsidRDefault="009E287E" w:rsidP="003855CB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100" w:afterAutospacing="1" w:line="240" w:lineRule="auto"/>
        <w:ind w:left="426"/>
        <w:jc w:val="both"/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Postępowanie prowadzone jest w formie elektronicznej</w:t>
      </w:r>
      <w:r w:rsidR="007F0DF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, zgodnie z warunkami</w:t>
      </w:r>
      <w:r w:rsidR="00711292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/ wytycznymi</w:t>
      </w:r>
      <w:r w:rsidR="007F0DF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 określonymi w niniejszym zapytaniu ofertowym.</w:t>
      </w:r>
    </w:p>
    <w:p w14:paraId="0E1CE012" w14:textId="168085D7" w:rsidR="009E287E" w:rsidRPr="00CE656C" w:rsidRDefault="009E287E" w:rsidP="009E287E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Style w:val="Hipercze"/>
          <w:rFonts w:asciiTheme="majorHAnsi" w:eastAsia="Times New Roman" w:hAnsiTheme="majorHAnsi" w:cstheme="majorHAnsi"/>
          <w:color w:val="000000"/>
          <w:sz w:val="25"/>
          <w:szCs w:val="25"/>
          <w:u w:val="none"/>
          <w:lang w:eastAsia="pl-PL"/>
        </w:rPr>
      </w:pP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Wszelkie pytania dotyczące niniejszego zamówienia należy przesyłać drogą elektroniczną na adres wskazany poniżej w pkt 3.</w:t>
      </w:r>
      <w:r w:rsidRPr="00CE656C">
        <w:rPr>
          <w:rStyle w:val="Hipercze"/>
          <w:rFonts w:asciiTheme="majorHAnsi" w:eastAsia="Times New Roman" w:hAnsiTheme="majorHAnsi" w:cstheme="majorHAnsi"/>
          <w:color w:val="000000"/>
          <w:sz w:val="25"/>
          <w:szCs w:val="25"/>
          <w:u w:val="none"/>
          <w:lang w:eastAsia="pl-PL"/>
        </w:rPr>
        <w:t xml:space="preserve"> </w:t>
      </w:r>
    </w:p>
    <w:p w14:paraId="0D07C559" w14:textId="2DD5BD9F" w:rsidR="00617E4C" w:rsidRPr="00CE656C" w:rsidRDefault="00617E4C" w:rsidP="009E287E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426"/>
        <w:jc w:val="both"/>
        <w:rPr>
          <w:rFonts w:asciiTheme="majorHAnsi" w:eastAsia="Times New Roman" w:hAnsiTheme="majorHAnsi" w:cstheme="majorHAnsi"/>
          <w:b/>
          <w:bCs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W przypadku pojawienia się jakichkolwiek pytań i wątpliwości proszę o kontakt: w sprawach związanych z przedmiotem zamówienia</w:t>
      </w:r>
      <w:r w:rsidR="005F08EF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 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z </w:t>
      </w:r>
      <w:r w:rsidR="00936B2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Dyrektorem Szkoły Podstawowej im. Wł. Broniewskiego w Zelgnie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 – </w:t>
      </w:r>
      <w:r w:rsidR="00936B2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p. Beatą Zając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, pod numerem telefonu </w:t>
      </w:r>
      <w:r w:rsidR="005C6848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>696-375-180</w:t>
      </w:r>
      <w:r w:rsidR="00936B24" w:rsidRPr="00CE656C">
        <w:rPr>
          <w:rFonts w:asciiTheme="majorHAnsi" w:eastAsia="Times New Roman" w:hAnsiTheme="majorHAnsi" w:cstheme="majorHAnsi"/>
          <w:sz w:val="25"/>
          <w:szCs w:val="25"/>
          <w:lang w:eastAsia="pl-PL"/>
        </w:rPr>
        <w:t xml:space="preserve">, </w:t>
      </w:r>
      <w:r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>mail: </w:t>
      </w:r>
      <w:hyperlink r:id="rId10" w:history="1">
        <w:r w:rsidR="00936B24" w:rsidRPr="00CE656C">
          <w:rPr>
            <w:rStyle w:val="Hipercze"/>
            <w:rFonts w:asciiTheme="majorHAnsi" w:hAnsiTheme="majorHAnsi"/>
            <w:sz w:val="25"/>
            <w:szCs w:val="25"/>
          </w:rPr>
          <w:t>dyrektor@spzelgno.pl</w:t>
        </w:r>
      </w:hyperlink>
      <w:r w:rsidR="00936B24" w:rsidRPr="00CE656C">
        <w:rPr>
          <w:sz w:val="25"/>
          <w:szCs w:val="25"/>
        </w:rPr>
        <w:t xml:space="preserve"> </w:t>
      </w:r>
      <w:r w:rsidR="008C7D7A" w:rsidRPr="00CE656C">
        <w:rPr>
          <w:rFonts w:asciiTheme="majorHAnsi" w:hAnsiTheme="majorHAnsi" w:cstheme="majorHAnsi"/>
          <w:sz w:val="25"/>
          <w:szCs w:val="25"/>
        </w:rPr>
        <w:t xml:space="preserve"> lub </w:t>
      </w:r>
      <w:r w:rsidR="00936B24" w:rsidRPr="00CE656C">
        <w:rPr>
          <w:rFonts w:asciiTheme="majorHAnsi" w:eastAsia="Times New Roman" w:hAnsiTheme="majorHAnsi" w:cstheme="majorHAnsi"/>
          <w:color w:val="000000"/>
          <w:sz w:val="25"/>
          <w:szCs w:val="25"/>
          <w:lang w:eastAsia="pl-PL"/>
        </w:rPr>
        <w:t xml:space="preserve">w sprawach związanych z procedurą zamówienia </w:t>
      </w:r>
      <w:r w:rsidR="008C7D7A" w:rsidRPr="00CE656C">
        <w:rPr>
          <w:rFonts w:asciiTheme="majorHAnsi" w:hAnsiTheme="majorHAnsi" w:cstheme="majorHAnsi"/>
          <w:sz w:val="25"/>
          <w:szCs w:val="25"/>
        </w:rPr>
        <w:t xml:space="preserve">z Tomaszem Szreiber, pod numerem telefonu </w:t>
      </w:r>
      <w:r w:rsidR="00936B24" w:rsidRPr="00CE656C">
        <w:rPr>
          <w:rFonts w:asciiTheme="majorHAnsi" w:hAnsiTheme="majorHAnsi" w:cstheme="majorHAnsi"/>
          <w:sz w:val="25"/>
          <w:szCs w:val="25"/>
        </w:rPr>
        <w:t xml:space="preserve">603-416-256. </w:t>
      </w:r>
      <w:r w:rsidR="008C7D7A" w:rsidRPr="00CE656C">
        <w:rPr>
          <w:rFonts w:asciiTheme="majorHAnsi" w:hAnsiTheme="majorHAnsi" w:cstheme="majorHAnsi"/>
          <w:sz w:val="25"/>
          <w:szCs w:val="25"/>
        </w:rPr>
        <w:t xml:space="preserve"> </w:t>
      </w:r>
    </w:p>
    <w:p w14:paraId="7E2A964F" w14:textId="4959E7FD" w:rsidR="00617E4C" w:rsidRPr="001B2D17" w:rsidRDefault="00617E4C" w:rsidP="001D4508">
      <w:pPr>
        <w:pStyle w:val="Nagwek2"/>
        <w:rPr>
          <w:rFonts w:eastAsia="Times New Roman"/>
          <w:lang w:eastAsia="pl-PL"/>
        </w:rPr>
      </w:pPr>
      <w:r w:rsidRPr="001B2D17">
        <w:rPr>
          <w:rFonts w:eastAsia="Times New Roman"/>
          <w:lang w:eastAsia="pl-PL"/>
        </w:rPr>
        <w:t>X</w:t>
      </w:r>
      <w:r w:rsidR="00C72745">
        <w:rPr>
          <w:rFonts w:eastAsia="Times New Roman"/>
          <w:lang w:eastAsia="pl-PL"/>
        </w:rPr>
        <w:t>I</w:t>
      </w:r>
      <w:r w:rsidRPr="001B2D17">
        <w:rPr>
          <w:rFonts w:eastAsia="Times New Roman"/>
          <w:lang w:eastAsia="pl-PL"/>
        </w:rPr>
        <w:t>. Załączniki</w:t>
      </w:r>
    </w:p>
    <w:p w14:paraId="42D550A1" w14:textId="082581AE" w:rsidR="00617E4C" w:rsidRPr="00CE656C" w:rsidRDefault="00617E4C" w:rsidP="001D4508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Załącznik Nr 1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 Formularz ofertowy</w:t>
      </w:r>
    </w:p>
    <w:p w14:paraId="0C831B1D" w14:textId="1E02DC92" w:rsidR="00617E4C" w:rsidRPr="00CE656C" w:rsidRDefault="00617E4C" w:rsidP="001D450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Załącznik Nr 2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 – </w:t>
      </w:r>
      <w:r w:rsidR="00936B24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Formularz cen</w:t>
      </w:r>
    </w:p>
    <w:p w14:paraId="70D67E16" w14:textId="4D725F78" w:rsidR="00936B24" w:rsidRPr="00CE656C" w:rsidRDefault="00936B24" w:rsidP="00936B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Załącznik Nr 3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Oświadczenie Wykonawcy</w:t>
      </w:r>
    </w:p>
    <w:p w14:paraId="1CB3ED39" w14:textId="4120B582" w:rsidR="00617E4C" w:rsidRPr="00CE656C" w:rsidRDefault="00617E4C" w:rsidP="001D450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- 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Załącznik Nr </w:t>
      </w:r>
      <w:r w:rsidR="00936B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4 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– </w:t>
      </w:r>
      <w:r w:rsidR="004E05B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Wzór umowy</w:t>
      </w:r>
    </w:p>
    <w:p w14:paraId="4075A846" w14:textId="0FBF6B54" w:rsidR="008F677C" w:rsidRPr="00CE656C" w:rsidRDefault="008F677C" w:rsidP="008F677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</w:pP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- </w:t>
      </w:r>
      <w:r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 xml:space="preserve">Załącznik Nr </w:t>
      </w:r>
      <w:r w:rsidR="00936B24" w:rsidRPr="00CE656C">
        <w:rPr>
          <w:rFonts w:asciiTheme="majorHAnsi" w:eastAsia="Times New Roman" w:hAnsiTheme="majorHAnsi" w:cs="Times New Roman"/>
          <w:b/>
          <w:bCs/>
          <w:color w:val="000000"/>
          <w:sz w:val="25"/>
          <w:szCs w:val="25"/>
          <w:lang w:eastAsia="pl-PL"/>
        </w:rPr>
        <w:t>5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> – Klauzula</w:t>
      </w:r>
      <w:r w:rsidR="004E05B9"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informacyjna -</w:t>
      </w:r>
      <w:r w:rsidRPr="00CE656C">
        <w:rPr>
          <w:rFonts w:asciiTheme="majorHAnsi" w:eastAsia="Times New Roman" w:hAnsiTheme="majorHAnsi" w:cs="Times New Roman"/>
          <w:color w:val="000000"/>
          <w:sz w:val="25"/>
          <w:szCs w:val="25"/>
          <w:lang w:eastAsia="pl-PL"/>
        </w:rPr>
        <w:t xml:space="preserve"> RODO</w:t>
      </w:r>
    </w:p>
    <w:p w14:paraId="31B3FBEF" w14:textId="4CE7F37E" w:rsidR="00617E4C" w:rsidRPr="001D4508" w:rsidRDefault="00936B24" w:rsidP="000467FC">
      <w:pPr>
        <w:shd w:val="clear" w:color="auto" w:fill="FFFFFF"/>
        <w:spacing w:before="100" w:beforeAutospacing="1"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Wójt Gminy Chełmża</w:t>
      </w:r>
    </w:p>
    <w:p w14:paraId="60D4BFD0" w14:textId="271AFF11" w:rsidR="00617E4C" w:rsidRPr="001D4508" w:rsidRDefault="00617E4C" w:rsidP="00617E4C">
      <w:pPr>
        <w:shd w:val="clear" w:color="auto" w:fill="FFFFFF"/>
        <w:spacing w:before="100" w:beforeAutospacing="1" w:after="48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</w:pPr>
      <w:r w:rsidRPr="001B2D17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(-)</w:t>
      </w:r>
      <w:r w:rsidR="001D4508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574734" w:rsidRPr="0057473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mgr inż.</w:t>
      </w:r>
      <w:r w:rsidR="0057473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36B24" w:rsidRPr="00936B24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l-PL"/>
        </w:rPr>
        <w:t>Jacek Czarnecki</w:t>
      </w:r>
    </w:p>
    <w:sectPr w:rsidR="00617E4C" w:rsidRPr="001D4508" w:rsidSect="000467FC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7EE8C" w14:textId="77777777" w:rsidR="009D61E0" w:rsidRDefault="009D61E0" w:rsidP="00D0147D">
      <w:pPr>
        <w:spacing w:after="0" w:line="240" w:lineRule="auto"/>
      </w:pPr>
      <w:r>
        <w:separator/>
      </w:r>
    </w:p>
  </w:endnote>
  <w:endnote w:type="continuationSeparator" w:id="0">
    <w:p w14:paraId="13E89232" w14:textId="77777777" w:rsidR="009D61E0" w:rsidRDefault="009D61E0" w:rsidP="00D0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51894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EE4B0EB" w14:textId="68132965" w:rsidR="000467FC" w:rsidRDefault="000467FC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93EFF" w14:textId="77777777" w:rsidR="000467FC" w:rsidRDefault="000467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17277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BA58DF" w14:textId="2E946F43" w:rsidR="000467FC" w:rsidRDefault="000467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9CFDD" w14:textId="77777777" w:rsidR="000467FC" w:rsidRDefault="00046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B95C2" w14:textId="77777777" w:rsidR="009D61E0" w:rsidRDefault="009D61E0" w:rsidP="00D0147D">
      <w:pPr>
        <w:spacing w:after="0" w:line="240" w:lineRule="auto"/>
      </w:pPr>
      <w:r>
        <w:separator/>
      </w:r>
    </w:p>
  </w:footnote>
  <w:footnote w:type="continuationSeparator" w:id="0">
    <w:p w14:paraId="1A74BA67" w14:textId="77777777" w:rsidR="009D61E0" w:rsidRDefault="009D61E0" w:rsidP="00D0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FFE8" w14:textId="77777777" w:rsidR="00D0147D" w:rsidRPr="00C11400" w:rsidRDefault="00D0147D" w:rsidP="00D0147D">
    <w:pPr>
      <w:snapToGrid w:val="0"/>
      <w:rPr>
        <w:rFonts w:ascii="Times New Roman" w:hAnsi="Times New Roman"/>
        <w:b/>
      </w:rPr>
    </w:pPr>
    <w:bookmarkStart w:id="0" w:name="_Hlk56689100"/>
    <w:bookmarkStart w:id="1" w:name="_Hlk56689101"/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bookmarkEnd w:id="0"/>
    <w:bookmarkEnd w:id="1"/>
    <w:r w:rsidRPr="002E1E12">
      <w:rPr>
        <w:rFonts w:ascii="Times New Roman" w:hAnsi="Times New Roman"/>
        <w:b/>
        <w:bCs/>
        <w:iCs/>
        <w:color w:val="FF0000"/>
        <w:spacing w:val="-2"/>
      </w:rPr>
      <w:t>ZEAS.332.1.2021</w:t>
    </w:r>
  </w:p>
  <w:p w14:paraId="56C5EE56" w14:textId="77777777" w:rsidR="00D0147D" w:rsidRDefault="00D01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439"/>
    <w:multiLevelType w:val="multilevel"/>
    <w:tmpl w:val="3E1C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D6A47"/>
    <w:multiLevelType w:val="multilevel"/>
    <w:tmpl w:val="71A2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6200C"/>
    <w:multiLevelType w:val="multilevel"/>
    <w:tmpl w:val="68F8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A7D3A"/>
    <w:multiLevelType w:val="hybridMultilevel"/>
    <w:tmpl w:val="95FA11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01B2"/>
    <w:multiLevelType w:val="hybridMultilevel"/>
    <w:tmpl w:val="B4026564"/>
    <w:lvl w:ilvl="0" w:tplc="CC7C44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0792"/>
    <w:multiLevelType w:val="multilevel"/>
    <w:tmpl w:val="2E96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C789E"/>
    <w:multiLevelType w:val="multilevel"/>
    <w:tmpl w:val="DC50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F1C34"/>
    <w:multiLevelType w:val="multilevel"/>
    <w:tmpl w:val="E54E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968C0"/>
    <w:multiLevelType w:val="hybridMultilevel"/>
    <w:tmpl w:val="453A50D6"/>
    <w:lvl w:ilvl="0" w:tplc="2BE40F02">
      <w:start w:val="1"/>
      <w:numFmt w:val="lowerLetter"/>
      <w:lvlText w:val="%1."/>
      <w:lvlJc w:val="left"/>
      <w:pPr>
        <w:ind w:left="70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AD797C"/>
    <w:multiLevelType w:val="multilevel"/>
    <w:tmpl w:val="B47A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6495D"/>
    <w:multiLevelType w:val="multilevel"/>
    <w:tmpl w:val="E54E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55A8B"/>
    <w:multiLevelType w:val="hybridMultilevel"/>
    <w:tmpl w:val="75549604"/>
    <w:lvl w:ilvl="0" w:tplc="A51CC0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03DC2"/>
    <w:multiLevelType w:val="multilevel"/>
    <w:tmpl w:val="F874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42E6086"/>
    <w:multiLevelType w:val="multilevel"/>
    <w:tmpl w:val="8850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73F8B"/>
    <w:multiLevelType w:val="multilevel"/>
    <w:tmpl w:val="B47A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8751B"/>
    <w:multiLevelType w:val="multilevel"/>
    <w:tmpl w:val="2C92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4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C"/>
    <w:rsid w:val="000258DB"/>
    <w:rsid w:val="00030049"/>
    <w:rsid w:val="00031DFC"/>
    <w:rsid w:val="000458CF"/>
    <w:rsid w:val="000467FC"/>
    <w:rsid w:val="00050E5D"/>
    <w:rsid w:val="000A5AAF"/>
    <w:rsid w:val="000B3ABB"/>
    <w:rsid w:val="000B7112"/>
    <w:rsid w:val="000C085C"/>
    <w:rsid w:val="000D652B"/>
    <w:rsid w:val="000E3B33"/>
    <w:rsid w:val="000E4564"/>
    <w:rsid w:val="00106E88"/>
    <w:rsid w:val="00124863"/>
    <w:rsid w:val="0013454C"/>
    <w:rsid w:val="0013497B"/>
    <w:rsid w:val="0014116A"/>
    <w:rsid w:val="00146987"/>
    <w:rsid w:val="00153196"/>
    <w:rsid w:val="0017196F"/>
    <w:rsid w:val="001814D2"/>
    <w:rsid w:val="001962B4"/>
    <w:rsid w:val="001A3F3A"/>
    <w:rsid w:val="001A63FA"/>
    <w:rsid w:val="001B2D17"/>
    <w:rsid w:val="001B50B1"/>
    <w:rsid w:val="001C0AA0"/>
    <w:rsid w:val="001D22AA"/>
    <w:rsid w:val="001D4508"/>
    <w:rsid w:val="001F7FBB"/>
    <w:rsid w:val="00200852"/>
    <w:rsid w:val="00204538"/>
    <w:rsid w:val="00214C07"/>
    <w:rsid w:val="00251402"/>
    <w:rsid w:val="00253A42"/>
    <w:rsid w:val="002723B9"/>
    <w:rsid w:val="00274BD3"/>
    <w:rsid w:val="00275629"/>
    <w:rsid w:val="00290ABB"/>
    <w:rsid w:val="002A4EAA"/>
    <w:rsid w:val="002D1AB1"/>
    <w:rsid w:val="002D3817"/>
    <w:rsid w:val="003064CF"/>
    <w:rsid w:val="00311548"/>
    <w:rsid w:val="0033361C"/>
    <w:rsid w:val="003437E0"/>
    <w:rsid w:val="00361890"/>
    <w:rsid w:val="003721CC"/>
    <w:rsid w:val="003737BA"/>
    <w:rsid w:val="003855CB"/>
    <w:rsid w:val="003C00E3"/>
    <w:rsid w:val="003F60F5"/>
    <w:rsid w:val="00426001"/>
    <w:rsid w:val="00450258"/>
    <w:rsid w:val="00490914"/>
    <w:rsid w:val="004A15B8"/>
    <w:rsid w:val="004A7CA0"/>
    <w:rsid w:val="004B0C93"/>
    <w:rsid w:val="004C4789"/>
    <w:rsid w:val="004E05B9"/>
    <w:rsid w:val="004E79B7"/>
    <w:rsid w:val="00506EBD"/>
    <w:rsid w:val="005302D5"/>
    <w:rsid w:val="00555FC6"/>
    <w:rsid w:val="00563B95"/>
    <w:rsid w:val="00573506"/>
    <w:rsid w:val="00574734"/>
    <w:rsid w:val="00590C4D"/>
    <w:rsid w:val="005910DA"/>
    <w:rsid w:val="00594978"/>
    <w:rsid w:val="005C2468"/>
    <w:rsid w:val="005C6848"/>
    <w:rsid w:val="005E3F24"/>
    <w:rsid w:val="005F08EF"/>
    <w:rsid w:val="005F47B8"/>
    <w:rsid w:val="00603E6B"/>
    <w:rsid w:val="00604161"/>
    <w:rsid w:val="00617E4C"/>
    <w:rsid w:val="006226D0"/>
    <w:rsid w:val="006267BF"/>
    <w:rsid w:val="00645143"/>
    <w:rsid w:val="006543CD"/>
    <w:rsid w:val="00670776"/>
    <w:rsid w:val="006837F5"/>
    <w:rsid w:val="00692D1F"/>
    <w:rsid w:val="006B5C07"/>
    <w:rsid w:val="007105B8"/>
    <w:rsid w:val="00711292"/>
    <w:rsid w:val="007125A4"/>
    <w:rsid w:val="00717F47"/>
    <w:rsid w:val="0072587C"/>
    <w:rsid w:val="00740BFF"/>
    <w:rsid w:val="007444D4"/>
    <w:rsid w:val="00750B5C"/>
    <w:rsid w:val="00757B73"/>
    <w:rsid w:val="00765647"/>
    <w:rsid w:val="007711CA"/>
    <w:rsid w:val="00777977"/>
    <w:rsid w:val="007A1E7E"/>
    <w:rsid w:val="007A5AC7"/>
    <w:rsid w:val="007B7045"/>
    <w:rsid w:val="007F0DF4"/>
    <w:rsid w:val="007F60BA"/>
    <w:rsid w:val="008024DD"/>
    <w:rsid w:val="00805A0F"/>
    <w:rsid w:val="0082192D"/>
    <w:rsid w:val="008230DA"/>
    <w:rsid w:val="00861755"/>
    <w:rsid w:val="00863C9B"/>
    <w:rsid w:val="0088028A"/>
    <w:rsid w:val="00890636"/>
    <w:rsid w:val="008948C9"/>
    <w:rsid w:val="008948D4"/>
    <w:rsid w:val="00896416"/>
    <w:rsid w:val="008A0AC8"/>
    <w:rsid w:val="008C16E6"/>
    <w:rsid w:val="008C7D7A"/>
    <w:rsid w:val="008D28F9"/>
    <w:rsid w:val="008D56F9"/>
    <w:rsid w:val="008F23FC"/>
    <w:rsid w:val="008F677C"/>
    <w:rsid w:val="00920704"/>
    <w:rsid w:val="00920F4C"/>
    <w:rsid w:val="00930CD9"/>
    <w:rsid w:val="00936B24"/>
    <w:rsid w:val="00943756"/>
    <w:rsid w:val="00953267"/>
    <w:rsid w:val="009875AF"/>
    <w:rsid w:val="009B1D2A"/>
    <w:rsid w:val="009C23B7"/>
    <w:rsid w:val="009D61E0"/>
    <w:rsid w:val="009E287E"/>
    <w:rsid w:val="009F6155"/>
    <w:rsid w:val="00A24531"/>
    <w:rsid w:val="00A2776B"/>
    <w:rsid w:val="00A31CC0"/>
    <w:rsid w:val="00A45507"/>
    <w:rsid w:val="00A473FB"/>
    <w:rsid w:val="00A8583B"/>
    <w:rsid w:val="00AA0F5A"/>
    <w:rsid w:val="00AA7B59"/>
    <w:rsid w:val="00AC2B77"/>
    <w:rsid w:val="00AD52EE"/>
    <w:rsid w:val="00AD7DD7"/>
    <w:rsid w:val="00B12531"/>
    <w:rsid w:val="00B23404"/>
    <w:rsid w:val="00B25EF0"/>
    <w:rsid w:val="00B31C6E"/>
    <w:rsid w:val="00B47133"/>
    <w:rsid w:val="00B67F4F"/>
    <w:rsid w:val="00B76346"/>
    <w:rsid w:val="00B90C7E"/>
    <w:rsid w:val="00BA3D99"/>
    <w:rsid w:val="00BC77E2"/>
    <w:rsid w:val="00BD1B1C"/>
    <w:rsid w:val="00BE208A"/>
    <w:rsid w:val="00BE33FF"/>
    <w:rsid w:val="00BE563A"/>
    <w:rsid w:val="00BF22EA"/>
    <w:rsid w:val="00C01871"/>
    <w:rsid w:val="00C1177E"/>
    <w:rsid w:val="00C234BA"/>
    <w:rsid w:val="00C43E41"/>
    <w:rsid w:val="00C467E6"/>
    <w:rsid w:val="00C52EE1"/>
    <w:rsid w:val="00C600C1"/>
    <w:rsid w:val="00C72745"/>
    <w:rsid w:val="00C77020"/>
    <w:rsid w:val="00C87DA0"/>
    <w:rsid w:val="00CC0C50"/>
    <w:rsid w:val="00CC1135"/>
    <w:rsid w:val="00CE08BB"/>
    <w:rsid w:val="00CE656C"/>
    <w:rsid w:val="00D0147D"/>
    <w:rsid w:val="00D444B4"/>
    <w:rsid w:val="00D47F7A"/>
    <w:rsid w:val="00D55D67"/>
    <w:rsid w:val="00D64428"/>
    <w:rsid w:val="00D749AE"/>
    <w:rsid w:val="00DC385D"/>
    <w:rsid w:val="00DC58C9"/>
    <w:rsid w:val="00DD2187"/>
    <w:rsid w:val="00DD54EE"/>
    <w:rsid w:val="00DD67DB"/>
    <w:rsid w:val="00DD76A7"/>
    <w:rsid w:val="00DE5496"/>
    <w:rsid w:val="00DF26B9"/>
    <w:rsid w:val="00E26582"/>
    <w:rsid w:val="00E31086"/>
    <w:rsid w:val="00E7587A"/>
    <w:rsid w:val="00E82A79"/>
    <w:rsid w:val="00E97D58"/>
    <w:rsid w:val="00EA0303"/>
    <w:rsid w:val="00EA2B9B"/>
    <w:rsid w:val="00EB56AE"/>
    <w:rsid w:val="00EC7E50"/>
    <w:rsid w:val="00EE1374"/>
    <w:rsid w:val="00EF7E49"/>
    <w:rsid w:val="00F24407"/>
    <w:rsid w:val="00F31005"/>
    <w:rsid w:val="00F409F8"/>
    <w:rsid w:val="00F52210"/>
    <w:rsid w:val="00F53099"/>
    <w:rsid w:val="00F57B7A"/>
    <w:rsid w:val="00F74F8C"/>
    <w:rsid w:val="00FA27D3"/>
    <w:rsid w:val="00FD32C9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D973B"/>
  <w15:chartTrackingRefBased/>
  <w15:docId w15:val="{733C4349-76C6-4D2D-8B38-D9DBF2B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E4C"/>
  </w:style>
  <w:style w:type="paragraph" w:styleId="Nagwek1">
    <w:name w:val="heading 1"/>
    <w:basedOn w:val="Normalny"/>
    <w:next w:val="Normalny"/>
    <w:link w:val="Nagwek1Znak"/>
    <w:uiPriority w:val="9"/>
    <w:qFormat/>
    <w:rsid w:val="007105B8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4D2"/>
    <w:pPr>
      <w:keepNext/>
      <w:keepLines/>
      <w:shd w:val="clear" w:color="auto" w:fill="F2F2F2" w:themeFill="background1" w:themeFillShade="F2"/>
      <w:spacing w:before="4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14D2"/>
    <w:rPr>
      <w:rFonts w:asciiTheme="majorHAnsi" w:eastAsiaTheme="majorEastAsia" w:hAnsiTheme="majorHAnsi" w:cstheme="majorBidi"/>
      <w:b/>
      <w:color w:val="000000" w:themeColor="text1"/>
      <w:sz w:val="32"/>
      <w:szCs w:val="26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7105B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table" w:styleId="Tabela-Siatka">
    <w:name w:val="Table Grid"/>
    <w:basedOn w:val="Standardowy"/>
    <w:uiPriority w:val="39"/>
    <w:rsid w:val="0020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08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8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8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34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3437E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53A4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47D"/>
  </w:style>
  <w:style w:type="paragraph" w:styleId="Stopka">
    <w:name w:val="footer"/>
    <w:basedOn w:val="Normalny"/>
    <w:link w:val="StopkaZnak"/>
    <w:uiPriority w:val="99"/>
    <w:unhideWhenUsed/>
    <w:rsid w:val="00D0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47D"/>
  </w:style>
  <w:style w:type="character" w:styleId="Odwoaniedokomentarza">
    <w:name w:val="annotation reference"/>
    <w:basedOn w:val="Domylnaczcionkaakapitu"/>
    <w:uiPriority w:val="99"/>
    <w:semiHidden/>
    <w:unhideWhenUsed/>
    <w:rsid w:val="000B7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1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1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gminachelmza.pl/9764,zapytania-ofertow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yrektor@spzelg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odlaszewska@gminachelm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6057-A16C-4C3B-8E23-E45CC302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3419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ogłoszenie o zamówieniu</vt:lpstr>
    </vt:vector>
  </TitlesOfParts>
  <Company/>
  <LinksUpToDate>false</LinksUpToDate>
  <CharactersWithSpaces>23886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ogłoszenie o zamówieniu</dc:title>
  <dc:subject/>
  <dc:creator>Tomasz Szreiber</dc:creator>
  <cp:keywords>Zapytanie ofertowe - ogłoszenie o zamówieniu</cp:keywords>
  <dc:description>Zapytanie ofertowe - ogłoszenie o zamówieniu</dc:description>
  <cp:lastModifiedBy>Tomasz Szreiber</cp:lastModifiedBy>
  <cp:revision>5</cp:revision>
  <dcterms:created xsi:type="dcterms:W3CDTF">2021-07-11T08:10:00Z</dcterms:created>
  <dcterms:modified xsi:type="dcterms:W3CDTF">2021-07-11T19:35:00Z</dcterms:modified>
</cp:coreProperties>
</file>