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1E2F" w14:textId="77777777" w:rsidR="00C11400" w:rsidRPr="00DE089C" w:rsidRDefault="00C11400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A88434D" w14:textId="61B5DCED" w:rsidR="00B5457F" w:rsidRPr="009C30B5" w:rsidRDefault="004E032D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KLAUZULA INFORMACYJNA - RODO</w:t>
      </w:r>
    </w:p>
    <w:p w14:paraId="438B0338" w14:textId="77777777" w:rsidR="00C11400" w:rsidRPr="00DE089C" w:rsidRDefault="00C11400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EAB3977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7BFAF7E" w14:textId="460E4915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Administratorem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danych osobowych jest 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Urząd Gminy Chełmża, ul. Wodna 2, 87-140 Chełmża, tel. 56 6756076, e-mail: info@gminachelmza.pl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reprezentowany przez Wójta Gminy Chełmża. Przetwarzanie danych jest niezbędne do wypełnienia obowiązku prawnego ciążącego na administratorze. Dane są przechowywane przez czas określony w szczególnych przepisach prawa. Osobie której dane dotyczą, przysługuje prawo do wglądu w swoje dane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 prawo ich uzupełniania. Szczegółowe informacje dotyczące przetwarzania danych podane są w polityce prywatności oraz klauzuli informacyjnej dostępnej w siedzibie urzędu, na stronie </w:t>
      </w:r>
      <w:r w:rsidRPr="000D6E9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www.bip.gminachelmza.pl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Biuletynie Informacji Publicznej Administratora.</w:t>
      </w:r>
    </w:p>
    <w:p w14:paraId="7FBC42FF" w14:textId="77777777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46322C0" w14:textId="4D3B0946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Administratorem Pani/Pana danych </w:t>
      </w:r>
      <w:r w:rsidRP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>osobowych jest Urząd Gminy Chełmża, reprezentowany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przez Wójta.</w:t>
      </w:r>
    </w:p>
    <w:p w14:paraId="1A39122B" w14:textId="6BFAE094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14:paraId="1A7ABD30" w14:textId="377FC42A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(imię, nazwisko, adres) przetwarzane będą na podstawie art. 6 ust. 1 lit. c RODO w celu związanym z zapytaniem ofertowym na koszenie terenów zielonych w Gminie Chełmża w 2021 r.</w:t>
      </w:r>
    </w:p>
    <w:p w14:paraId="71B88B70" w14:textId="0777001E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przez Panią/Pana udostępnione mogą być przekazane wyłącznie podmiotom upoważnionym na podstawie przepisów prawa.</w:t>
      </w:r>
    </w:p>
    <w:p w14:paraId="4FCA3FF2" w14:textId="0AD214A5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przez Panią/Pana udostępnione nie będą przekazywane do państwa trzeciego lub organizacji międzynarodowej.</w:t>
      </w:r>
    </w:p>
    <w:p w14:paraId="1D041549" w14:textId="1549847A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przetwarzane będą przez okres niezbędny do załatwienia sprawy oraz przechowywane przez okres wskazany w przepisach ustawy z dnia 14 lipca 1983 r. o narodowym zasobie archiwalnym i archiwach.</w:t>
      </w:r>
    </w:p>
    <w:p w14:paraId="40B15A5A" w14:textId="39A10E60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7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W związku z przetwarzaniem danych osobowych przez Administratora mają Państwo prawo do:</w:t>
      </w:r>
    </w:p>
    <w:p w14:paraId="6EE3F773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dostępu do treści danych na podstawie art. 15 RODO;</w:t>
      </w:r>
    </w:p>
    <w:p w14:paraId="3A98DEEE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sprostowania danych na podstawie art. 16 RODO;</w:t>
      </w:r>
    </w:p>
    <w:p w14:paraId="15AD1686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usunięcia danych na podstawie art. 17 RODO, jeżeli:</w:t>
      </w:r>
    </w:p>
    <w:p w14:paraId="2C45BFCA" w14:textId="77777777" w:rsidR="004E032D" w:rsidRPr="004E032D" w:rsidRDefault="004E032D" w:rsidP="000D6E94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wycofają Państwo zgodę na przetwarzanie danych osobowych;</w:t>
      </w:r>
    </w:p>
    <w:p w14:paraId="0ADB6933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dane osobowe przestaną być niezbędne do celów, w których zostały zebrane lub w których były przetwarzane;</w:t>
      </w:r>
    </w:p>
    <w:p w14:paraId="1E5F8193" w14:textId="77777777" w:rsidR="004E032D" w:rsidRPr="004E032D" w:rsidRDefault="004E032D" w:rsidP="000D6E94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dane są przetwarzane niezgodnie z prawem;</w:t>
      </w:r>
    </w:p>
    <w:p w14:paraId="50FAB925" w14:textId="77777777" w:rsidR="004E032D" w:rsidRPr="004E032D" w:rsidRDefault="004E032D" w:rsidP="000D6E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ograniczenia przetwarzania danych na podstawie art. 18 RODO, jeżeli:</w:t>
      </w:r>
    </w:p>
    <w:p w14:paraId="3D9DAAFD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osoba, której dane dotyczą, kwestionuje prawidłowość danych osobowych;</w:t>
      </w:r>
    </w:p>
    <w:p w14:paraId="64B590FD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przetwarzanie jest niezgodne z prawem, a osoba, której dane dotyczą, sprzeciwia się usunięciu danych osobowych, żądając w zamian ograniczenia ich wykorzystywania;</w:t>
      </w:r>
    </w:p>
    <w:p w14:paraId="24881506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administrator nie potrzebuje już danych osobowych do celów przetwarzania, ale są one potrzebne osobie, której dane dotyczą, do ustalenia, dochodzenia lub obrony roszczeń;</w:t>
      </w:r>
    </w:p>
    <w:p w14:paraId="139B5C3A" w14:textId="77777777" w:rsidR="004E032D" w:rsidRPr="004E032D" w:rsidRDefault="004E032D" w:rsidP="000D6E94">
      <w:pPr>
        <w:spacing w:after="0" w:line="240" w:lineRule="auto"/>
        <w:ind w:left="212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lastRenderedPageBreak/>
        <w:t>d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B94F1CC" w14:textId="26A9F6C5" w:rsidR="004E032D" w:rsidRPr="004E032D" w:rsidRDefault="004E032D" w:rsidP="000D6E94">
      <w:pPr>
        <w:spacing w:after="0" w:line="240" w:lineRule="auto"/>
        <w:ind w:left="1413" w:hanging="70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wniesienia sprzeciwu wobec przetwarzania danych na podstawie art. 21 RODO, wobec przetwarzania danych osobowych opartego na art. 6 ust. 1 lit. e RODO;</w:t>
      </w:r>
    </w:p>
    <w:p w14:paraId="7C0CFBB8" w14:textId="56319395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ul. Stawki 2, 00-193 Warszawa, telefon: 22 860 70 86.</w:t>
      </w:r>
    </w:p>
    <w:p w14:paraId="1921AF2B" w14:textId="234C34B9" w:rsidR="004E032D" w:rsidRP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9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Podanie przez Panią/Pana danych osobowych odbywa się na podstawie obowiązujących regulacji prawnych.</w:t>
      </w:r>
    </w:p>
    <w:p w14:paraId="088ACAC6" w14:textId="4127D7F1" w:rsidR="00B5457F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83A1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10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D6E9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E032D">
        <w:rPr>
          <w:rFonts w:asciiTheme="majorHAnsi" w:eastAsia="Times New Roman" w:hAnsiTheme="majorHAnsi" w:cstheme="majorHAnsi"/>
          <w:sz w:val="24"/>
          <w:szCs w:val="24"/>
          <w:lang w:eastAsia="pl-PL"/>
        </w:rPr>
        <w:t>Dane udostępnione przez Panią/Pana nie będą podlegały zautomatyzowanemu przetwarzaniu, w tym profilowaniu, o którym mowa w ogólnym rozporządzeniu o ochronie danych.</w:t>
      </w:r>
    </w:p>
    <w:p w14:paraId="35D7F2D6" w14:textId="77777777" w:rsidR="004E032D" w:rsidRPr="00DE089C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5B97D2D" w14:textId="28040768" w:rsidR="0087742B" w:rsidRPr="00DE089C" w:rsidRDefault="0087742B" w:rsidP="004E032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87742B" w:rsidRPr="00DE089C" w:rsidSect="008A0D4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5DA5B" w14:textId="77777777" w:rsidR="008E271B" w:rsidRDefault="008E271B" w:rsidP="00C11400">
      <w:pPr>
        <w:spacing w:after="0" w:line="240" w:lineRule="auto"/>
      </w:pPr>
      <w:r>
        <w:separator/>
      </w:r>
    </w:p>
  </w:endnote>
  <w:endnote w:type="continuationSeparator" w:id="0">
    <w:p w14:paraId="6F2EACEB" w14:textId="77777777" w:rsidR="008E271B" w:rsidRDefault="008E271B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54174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B929A" w14:textId="3376FB78" w:rsidR="008A0D47" w:rsidRDefault="008A0D4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24496" w14:textId="77777777" w:rsidR="008A0D47" w:rsidRDefault="008A0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849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DBF3" w14:textId="339D7531" w:rsidR="008A0D47" w:rsidRDefault="008A0D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D3EDB" w14:textId="77777777" w:rsidR="008A0D47" w:rsidRDefault="008A0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2B94F" w14:textId="77777777" w:rsidR="008E271B" w:rsidRDefault="008E271B" w:rsidP="00C11400">
      <w:pPr>
        <w:spacing w:after="0" w:line="240" w:lineRule="auto"/>
      </w:pPr>
      <w:r>
        <w:separator/>
      </w:r>
    </w:p>
  </w:footnote>
  <w:footnote w:type="continuationSeparator" w:id="0">
    <w:p w14:paraId="12D59E64" w14:textId="77777777" w:rsidR="008E271B" w:rsidRDefault="008E271B" w:rsidP="00C1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28D0" w14:textId="2958298B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0" w:name="_Hlk56689100"/>
    <w:bookmarkStart w:id="1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4E032D">
      <w:rPr>
        <w:rFonts w:ascii="Times New Roman" w:hAnsi="Times New Roman"/>
        <w:b/>
        <w:sz w:val="28"/>
        <w:szCs w:val="28"/>
        <w:u w:val="single"/>
      </w:rPr>
      <w:t>5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9C73969" w14:textId="0A67FDEF" w:rsidR="00C11400" w:rsidRPr="00C11400" w:rsidRDefault="00C11400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0"/>
    <w:bookmarkEnd w:id="1"/>
    <w:r w:rsidR="002E1E12"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43129"/>
    <w:rsid w:val="00051D48"/>
    <w:rsid w:val="000A50F5"/>
    <w:rsid w:val="000D6E94"/>
    <w:rsid w:val="00140F0A"/>
    <w:rsid w:val="0017530E"/>
    <w:rsid w:val="00225CAE"/>
    <w:rsid w:val="002A2A16"/>
    <w:rsid w:val="002B13B0"/>
    <w:rsid w:val="002C6D78"/>
    <w:rsid w:val="002E1E12"/>
    <w:rsid w:val="002E4F1D"/>
    <w:rsid w:val="003012E1"/>
    <w:rsid w:val="003352D4"/>
    <w:rsid w:val="00353045"/>
    <w:rsid w:val="0037594B"/>
    <w:rsid w:val="0038061E"/>
    <w:rsid w:val="00385AA9"/>
    <w:rsid w:val="003D7D76"/>
    <w:rsid w:val="0040447E"/>
    <w:rsid w:val="00453A49"/>
    <w:rsid w:val="00485196"/>
    <w:rsid w:val="00494C59"/>
    <w:rsid w:val="004E032D"/>
    <w:rsid w:val="00553E44"/>
    <w:rsid w:val="00583A1D"/>
    <w:rsid w:val="005B4E40"/>
    <w:rsid w:val="005F691D"/>
    <w:rsid w:val="006D0D7A"/>
    <w:rsid w:val="00761A48"/>
    <w:rsid w:val="007843A4"/>
    <w:rsid w:val="007E4188"/>
    <w:rsid w:val="007E58A4"/>
    <w:rsid w:val="0087742B"/>
    <w:rsid w:val="008A0D47"/>
    <w:rsid w:val="008A6A08"/>
    <w:rsid w:val="008E271B"/>
    <w:rsid w:val="008E4310"/>
    <w:rsid w:val="00924859"/>
    <w:rsid w:val="009304DF"/>
    <w:rsid w:val="009720EA"/>
    <w:rsid w:val="00977232"/>
    <w:rsid w:val="009906D5"/>
    <w:rsid w:val="009B2CDE"/>
    <w:rsid w:val="009C30B5"/>
    <w:rsid w:val="009D2E77"/>
    <w:rsid w:val="00A01F09"/>
    <w:rsid w:val="00A03908"/>
    <w:rsid w:val="00A26FA4"/>
    <w:rsid w:val="00B45E89"/>
    <w:rsid w:val="00B5457F"/>
    <w:rsid w:val="00B771B2"/>
    <w:rsid w:val="00B87647"/>
    <w:rsid w:val="00C11400"/>
    <w:rsid w:val="00C52D9B"/>
    <w:rsid w:val="00C64A34"/>
    <w:rsid w:val="00CE78B0"/>
    <w:rsid w:val="00D17BE2"/>
    <w:rsid w:val="00D60127"/>
    <w:rsid w:val="00D93365"/>
    <w:rsid w:val="00DE089C"/>
    <w:rsid w:val="00E368E7"/>
    <w:rsid w:val="00E522B6"/>
    <w:rsid w:val="00FA7206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RODO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RODO</dc:title>
  <dc:subject/>
  <dc:creator>Tomasz Szreiber</dc:creator>
  <cp:keywords>Klauzula informacyjna - RODO</cp:keywords>
  <dc:description>Klauzula informacyjna - RODO</dc:description>
  <cp:lastModifiedBy>Tomasz Szreiber</cp:lastModifiedBy>
  <cp:revision>5</cp:revision>
  <dcterms:created xsi:type="dcterms:W3CDTF">2021-07-08T17:05:00Z</dcterms:created>
  <dcterms:modified xsi:type="dcterms:W3CDTF">2021-07-10T19:16:00Z</dcterms:modified>
</cp:coreProperties>
</file>