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C39" w14:textId="77777777" w:rsidR="00A931CD" w:rsidRPr="00614083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108E2C78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AC2937" w:rsidRPr="00614083" w14:paraId="678DDE1A" w14:textId="77777777" w:rsidTr="00D67D1C">
        <w:tc>
          <w:tcPr>
            <w:tcW w:w="6550" w:type="dxa"/>
            <w:hideMark/>
          </w:tcPr>
          <w:p w14:paraId="4DE9BC19" w14:textId="77777777" w:rsidR="00A931CD" w:rsidRPr="00614083" w:rsidRDefault="00A931CD" w:rsidP="003D7E0A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AE1E7FF" w14:textId="32EDF684" w:rsidR="00A931CD" w:rsidRPr="00614083" w:rsidRDefault="00A931CD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ZDT.7013.</w:t>
            </w:r>
            <w:r w:rsidR="008517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7</w:t>
            </w:r>
            <w:r w:rsidRPr="0061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.2022</w:t>
            </w:r>
          </w:p>
        </w:tc>
      </w:tr>
    </w:tbl>
    <w:p w14:paraId="488E7BB0" w14:textId="77777777" w:rsidR="00A931CD" w:rsidRPr="00614083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2BEC86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1DA580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4162EAA7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44CA91D" w14:textId="46450A66" w:rsidR="00303331" w:rsidRDefault="00784681" w:rsidP="000671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E4ED5"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dokumentacji projektowo-kosztorysow</w:t>
      </w:r>
      <w:r w:rsidR="00CA43E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0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budowę </w:t>
      </w:r>
      <w:r w:rsidR="003033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</w:t>
      </w:r>
      <w:r w:rsidR="00E226AB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30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dróg </w:t>
      </w:r>
      <w:r w:rsidR="0030333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333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 Chełmża</w:t>
      </w:r>
      <w:r w:rsidR="007852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7849043" w14:textId="77777777" w:rsidR="00DC4424" w:rsidRPr="00952BCA" w:rsidRDefault="001E4ED5" w:rsidP="00952BCA">
      <w:pPr>
        <w:pStyle w:val="Akapitzlist"/>
        <w:numPr>
          <w:ilvl w:val="0"/>
          <w:numId w:val="38"/>
        </w:numPr>
      </w:pPr>
      <w:r w:rsidRPr="00952BCA">
        <w:t>budowa oświetlenia drogowego przy drodze wewnętrznej działka nr 102/1, 117, 114 w</w:t>
      </w:r>
      <w:r w:rsidR="00C6260D" w:rsidRPr="00952BCA">
        <w:t> </w:t>
      </w:r>
      <w:r w:rsidRPr="00952BCA">
        <w:t xml:space="preserve"> miejscowości Bielczyny (odcinek o długości ok. 0,4 km)</w:t>
      </w:r>
    </w:p>
    <w:p w14:paraId="40075E4C" w14:textId="77777777" w:rsidR="00DC4424" w:rsidRPr="00952BCA" w:rsidRDefault="001E4ED5" w:rsidP="00952BCA">
      <w:pPr>
        <w:pStyle w:val="Akapitzlist"/>
        <w:numPr>
          <w:ilvl w:val="0"/>
          <w:numId w:val="38"/>
        </w:numPr>
      </w:pPr>
      <w:r w:rsidRPr="00952BCA">
        <w:t>budowa oświetlenia drogowego przy drodze wewnętrznej działka nr 135/1 w miejscowości Bielczyny (odcinek o długości ok 0,1 km)</w:t>
      </w:r>
      <w:r w:rsidR="00C6260D" w:rsidRPr="00952BCA">
        <w:t>;</w:t>
      </w:r>
      <w:r w:rsidRPr="00952BCA">
        <w:t xml:space="preserve"> </w:t>
      </w:r>
    </w:p>
    <w:p w14:paraId="72FAB034" w14:textId="77777777" w:rsidR="00DC4424" w:rsidRPr="00952BCA" w:rsidRDefault="001E4ED5" w:rsidP="00952BCA">
      <w:pPr>
        <w:pStyle w:val="Akapitzlist"/>
        <w:numPr>
          <w:ilvl w:val="0"/>
          <w:numId w:val="38"/>
        </w:numPr>
      </w:pPr>
      <w:r w:rsidRPr="00952BCA">
        <w:t>budowa oświetlenia przy drodze gminnej nr 100549 C, dzia</w:t>
      </w:r>
      <w:r w:rsidR="00C6260D" w:rsidRPr="00952BCA">
        <w:t>ł</w:t>
      </w:r>
      <w:r w:rsidRPr="00952BCA">
        <w:t>ka nr 91/1 w miejscowości Kończewice – Ogrodniki o (odcinek o długości ok 0,5 km)</w:t>
      </w:r>
      <w:r w:rsidR="00C6260D" w:rsidRPr="00952BCA">
        <w:t>;</w:t>
      </w:r>
    </w:p>
    <w:p w14:paraId="19FA0EC9" w14:textId="5DD95F35" w:rsidR="00952BCA" w:rsidRDefault="001E4ED5" w:rsidP="00952BCA">
      <w:pPr>
        <w:pStyle w:val="Akapitzlist"/>
        <w:numPr>
          <w:ilvl w:val="0"/>
          <w:numId w:val="38"/>
        </w:numPr>
      </w:pPr>
      <w:r w:rsidRPr="00952BCA">
        <w:t>budowa oświetlenia drogowego przy drodze gminnej nr 100521 C, działka nr 229</w:t>
      </w:r>
      <w:r w:rsidR="00844B24">
        <w:t xml:space="preserve"> w miejscowości Kończewice</w:t>
      </w:r>
      <w:r w:rsidRPr="00952BCA">
        <w:t xml:space="preserve"> (odcinek o</w:t>
      </w:r>
      <w:r w:rsidR="00784681" w:rsidRPr="00952BCA">
        <w:t> </w:t>
      </w:r>
      <w:r w:rsidRPr="00952BCA">
        <w:t>długości ok 990 m)</w:t>
      </w:r>
      <w:r w:rsidR="00C6260D" w:rsidRPr="00952BCA">
        <w:t>;</w:t>
      </w:r>
    </w:p>
    <w:p w14:paraId="5FF976C1" w14:textId="2915FE3A" w:rsidR="00DC4424" w:rsidRPr="00952BCA" w:rsidRDefault="001E4ED5" w:rsidP="00952BCA">
      <w:pPr>
        <w:pStyle w:val="Akapitzlist"/>
        <w:numPr>
          <w:ilvl w:val="0"/>
          <w:numId w:val="38"/>
        </w:numPr>
      </w:pPr>
      <w:r w:rsidRPr="00952BCA">
        <w:t>budowa oświetlenia drogi rowerowej przy drodze rowerowej wzdłuż drogi wojewódzkiej  551 na działkach  46//1, 54/1. 55, 211/12, 224/2, 231/25, 240/1 i 252/1 w</w:t>
      </w:r>
      <w:r w:rsidR="005A3B9E" w:rsidRPr="00952BCA">
        <w:t xml:space="preserve"> m</w:t>
      </w:r>
      <w:r w:rsidR="00E131C3" w:rsidRPr="00952BCA">
        <w:t>iejscowości</w:t>
      </w:r>
      <w:r w:rsidRPr="00952BCA">
        <w:t xml:space="preserve"> Kończewic</w:t>
      </w:r>
      <w:r w:rsidR="005A3B9E" w:rsidRPr="00952BCA">
        <w:t xml:space="preserve">e </w:t>
      </w:r>
      <w:r w:rsidRPr="00952BCA">
        <w:t>(odcinek o długości ok. 850 m)</w:t>
      </w:r>
      <w:r w:rsidR="00C6260D" w:rsidRPr="00952BCA">
        <w:t>;</w:t>
      </w:r>
    </w:p>
    <w:p w14:paraId="7D93791D" w14:textId="0C4731D7" w:rsidR="001E4ED5" w:rsidRPr="00952BCA" w:rsidRDefault="001E4ED5" w:rsidP="00952BCA">
      <w:pPr>
        <w:pStyle w:val="Akapitzlist"/>
        <w:numPr>
          <w:ilvl w:val="0"/>
          <w:numId w:val="38"/>
        </w:numPr>
      </w:pPr>
      <w:r w:rsidRPr="00952BCA">
        <w:t>budowa oświetlenia drogi rowerowej Kończewice Warszewice – przy drodze powiatowej 2019 C na działkach 56/5, 56/7, 57/1, 66/3, 87/1 (odcinek o długości 980 m).</w:t>
      </w:r>
      <w:r w:rsidR="002C5B5B">
        <w:t xml:space="preserve"> </w:t>
      </w:r>
      <w:r w:rsidR="004C45E8">
        <w:t xml:space="preserve"> </w:t>
      </w:r>
      <w:r w:rsidR="004B2271">
        <w:t xml:space="preserve"> </w:t>
      </w:r>
    </w:p>
    <w:bookmarkEnd w:id="0"/>
    <w:p w14:paraId="1B6401DB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7FCC8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559976C5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6E55E7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52E2862A" w14:textId="0A1020F8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</w:t>
      </w:r>
      <w:r w:rsidR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585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nż.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Kazimierz Bober </w:t>
      </w:r>
    </w:p>
    <w:p w14:paraId="5741CDDA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00CF" w14:textId="78EB8C6F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Chełmża </w:t>
      </w:r>
      <w:r w:rsidR="00386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27F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A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386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A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.2022 r. </w:t>
      </w:r>
    </w:p>
    <w:p w14:paraId="46C2CC28" w14:textId="77777777" w:rsidR="00A931CD" w:rsidRPr="00614083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3A1EF4E5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A5D147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1D156AE1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9B1ECD7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19D7C94D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0652569C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1FD144AA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3A43E4C1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59ABA664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hAnsi="Times New Roman" w:cs="Times New Roman"/>
          <w:sz w:val="24"/>
          <w:szCs w:val="24"/>
        </w:rPr>
        <w:t>adres skrytki ePUAP  /1k6o1ww2df/SkrytkaESP</w:t>
      </w:r>
    </w:p>
    <w:p w14:paraId="291B21D9" w14:textId="77777777" w:rsidR="00A931CD" w:rsidRPr="00614083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5" w:history="1">
        <w:r w:rsidRPr="00614083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10EE3B4E" w14:textId="77777777" w:rsidR="00A931CD" w:rsidRPr="00614083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6" w:history="1">
        <w:r w:rsidRPr="00614083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4529D227" w14:textId="46040B55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4BE999A8" w14:textId="6BE2DCA2" w:rsidR="00303331" w:rsidRPr="001E4ED5" w:rsidRDefault="00303331" w:rsidP="000671F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r w:rsidR="00E131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</w:t>
      </w: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wykonanie dla Zamawiającego </w:t>
      </w:r>
      <w:r w:rsid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</w:t>
      </w:r>
      <w:r w:rsid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projektowo-kosztorysow</w:t>
      </w:r>
      <w:r w:rsid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B75C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</w:t>
      </w:r>
      <w:r w:rsid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B75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dróg </w:t>
      </w:r>
      <w:r w:rsidR="00B75C0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Chełm</w:t>
      </w:r>
      <w:r w:rsidR="0089085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B75C0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mapami do </w:t>
      </w: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celów projektowych, a także uzyskanie </w:t>
      </w:r>
      <w:r w:rsid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(map) niezbędnych do projektowania, wymaganych </w:t>
      </w:r>
      <w:r w:rsidRPr="001E4ED5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uzgodnień oraz uzyskanie pozwolenia na budowę lub zaświadczenia o braku podstaw do wniesienia sprzeciwu na zgłoszenie robót budowlanych na wykonanie:</w:t>
      </w:r>
    </w:p>
    <w:p w14:paraId="39E933DE" w14:textId="77777777" w:rsidR="00D73CFF" w:rsidRDefault="00303331" w:rsidP="000671FA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E131C3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drogowego przy drodze wewnętrznej działka nr 102/1, 117, 114 w</w:t>
      </w:r>
      <w:r w:rsidR="00C6260D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Bielczyny (odcinek o długości ok. 0,4 km)</w:t>
      </w:r>
      <w:r w:rsidR="00CA43E4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5FB4" w14:textId="77777777" w:rsidR="00D73CFF" w:rsidRDefault="00303331" w:rsidP="000671FA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E131C3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drogowego przy drodze wewnętrznej działka nr 135/1 w miejscowości Bielczyny (odcinek o długości ok 0,1 km)</w:t>
      </w:r>
      <w:r w:rsidR="00CA43E4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289B52" w14:textId="77777777" w:rsidR="00510675" w:rsidRDefault="00303331" w:rsidP="000671FA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E131C3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przy drodze gminnej nr 100549 C, dzia</w:t>
      </w:r>
      <w:r w:rsidR="00154E63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łk</w:t>
      </w:r>
      <w:r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a nr 91/1 w miejscowości Kończewice – Ogrodniki o (odcinek o długości ok 0,5 km)</w:t>
      </w:r>
      <w:r w:rsidR="00CA43E4" w:rsidRPr="00D73C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69C7A8" w14:textId="34AF717E" w:rsidR="00510675" w:rsidRDefault="00303331" w:rsidP="000671FA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E131C3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drogowego przy drodze gminnej nr 100521 C, działka nr 229 </w:t>
      </w:r>
      <w:r w:rsidR="00106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 Kończewice 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(odcinek o</w:t>
      </w:r>
      <w:r w:rsidR="00E131C3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ok 990 m)</w:t>
      </w:r>
      <w:r w:rsidR="00CA43E4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DAC643" w14:textId="77777777" w:rsidR="00510675" w:rsidRDefault="00303331" w:rsidP="00C6260D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E131C3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drogi rowerowej przy drodze rowerowej wzdłuż drogi wojewódzkiej  551 na działkach  46//1, 54/1. 55, 211/12, 224/2, 231/25, 240/1 i 252/1 w</w:t>
      </w:r>
      <w:r w:rsidR="00E131C3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Kończewic</w:t>
      </w:r>
      <w:r w:rsidR="00E131C3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(odcinek o długości ok. 850 m)</w:t>
      </w:r>
      <w:r w:rsidR="00CA43E4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F82EFD" w14:textId="10AE9A62" w:rsidR="002326D3" w:rsidRDefault="00303331" w:rsidP="002326D3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E131C3"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0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drogi rowerowej Kończewice Warszewice – przy drodze powiatowej 2019 C na działkach 56/5, 56/7, 57/1, 66/3, 87/1 (odcinek o długości 980 m).</w:t>
      </w:r>
    </w:p>
    <w:p w14:paraId="60C0BE75" w14:textId="77777777" w:rsidR="002326D3" w:rsidRDefault="002326D3" w:rsidP="002326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95">
        <w:rPr>
          <w:rFonts w:ascii="Times New Roman" w:hAnsi="Times New Roman" w:cs="Times New Roman"/>
          <w:b/>
          <w:sz w:val="24"/>
          <w:szCs w:val="24"/>
        </w:rPr>
        <w:t>2.</w:t>
      </w:r>
      <w:r w:rsidRPr="00F62495">
        <w:rPr>
          <w:rFonts w:ascii="Times New Roman" w:hAnsi="Times New Roman" w:cs="Times New Roman"/>
          <w:sz w:val="24"/>
          <w:szCs w:val="24"/>
        </w:rPr>
        <w:t xml:space="preserve"> Dokumentacj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62495">
        <w:rPr>
          <w:rFonts w:ascii="Times New Roman" w:hAnsi="Times New Roman" w:cs="Times New Roman"/>
          <w:sz w:val="24"/>
          <w:szCs w:val="24"/>
        </w:rPr>
        <w:t xml:space="preserve"> projektow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62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opracować dla każdego z oświetleni. </w:t>
      </w:r>
      <w:r w:rsidRPr="004C46D7">
        <w:rPr>
          <w:rFonts w:ascii="Times New Roman" w:hAnsi="Times New Roman" w:cs="Times New Roman"/>
          <w:sz w:val="24"/>
          <w:szCs w:val="24"/>
        </w:rPr>
        <w:t>Szczegółowy zakres rzeczowy dokumentacji obejmuje (rodzaj opracowania i ilość egzemplarzy w formie papierowej):</w:t>
      </w:r>
    </w:p>
    <w:p w14:paraId="5D5784AA" w14:textId="77777777" w:rsidR="002326D3" w:rsidRPr="00CB22DE" w:rsidRDefault="002326D3" w:rsidP="004C45E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sporządzenia kompletnego projektu budowlanego umożliwiającego realizację inwestycji wraz z niezbędnymi opiniami, uzgodnieniami, badaniami i pomiarami koniecznymi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22DE">
        <w:rPr>
          <w:rFonts w:ascii="Times New Roman" w:hAnsi="Times New Roman" w:cs="Times New Roman"/>
          <w:sz w:val="24"/>
          <w:szCs w:val="24"/>
        </w:rPr>
        <w:t xml:space="preserve"> sporządzenia dokumentacji i prawidłowej realizacji robót umożliwiającymi uzyskanie przewidzianych prawem pozwoleń dla całego zakresu robót w tym pozwolenia na budowę lub, gdy pozwolenie na budowę nie jest wymagane - zgłoszenia robót budowlanych - na cały zakres robót;</w:t>
      </w:r>
    </w:p>
    <w:p w14:paraId="018958C2" w14:textId="77777777" w:rsidR="002326D3" w:rsidRPr="00CB22DE" w:rsidRDefault="002326D3" w:rsidP="004C45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sporządzenie mapy do celów projektowych;</w:t>
      </w:r>
    </w:p>
    <w:p w14:paraId="0D1ECCA4" w14:textId="77777777" w:rsidR="002326D3" w:rsidRPr="00CB22DE" w:rsidRDefault="002326D3" w:rsidP="004C45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opracowanie projektu zagospodarowania terenu ;</w:t>
      </w:r>
    </w:p>
    <w:p w14:paraId="719D71F7" w14:textId="77777777" w:rsidR="002326D3" w:rsidRPr="00CB22DE" w:rsidRDefault="002326D3" w:rsidP="004C45E8">
      <w:pPr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 xml:space="preserve">opracowanie przekrojów </w:t>
      </w:r>
    </w:p>
    <w:p w14:paraId="4029F386" w14:textId="77777777" w:rsidR="002326D3" w:rsidRPr="00CB22DE" w:rsidRDefault="002326D3" w:rsidP="004C45E8">
      <w:pPr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sporządzenie opisu technicznego;</w:t>
      </w:r>
    </w:p>
    <w:p w14:paraId="2470355F" w14:textId="77777777" w:rsidR="002326D3" w:rsidRPr="00CB22DE" w:rsidRDefault="002326D3" w:rsidP="004C45E8">
      <w:pPr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informację dotyczącą bezpieczeństwa i ochrony zdrowia</w:t>
      </w:r>
      <w:r>
        <w:rPr>
          <w:rFonts w:ascii="Times New Roman" w:hAnsi="Times New Roman" w:cs="Times New Roman"/>
          <w:sz w:val="24"/>
          <w:szCs w:val="24"/>
        </w:rPr>
        <w:t xml:space="preserve"> BIOZ</w:t>
      </w:r>
      <w:r w:rsidRPr="00CB22DE">
        <w:rPr>
          <w:rFonts w:ascii="Times New Roman" w:hAnsi="Times New Roman" w:cs="Times New Roman"/>
          <w:sz w:val="24"/>
          <w:szCs w:val="24"/>
        </w:rPr>
        <w:t>;</w:t>
      </w:r>
    </w:p>
    <w:p w14:paraId="7FBC413E" w14:textId="77777777" w:rsidR="002326D3" w:rsidRPr="00CB22DE" w:rsidRDefault="002326D3" w:rsidP="004C45E8">
      <w:pPr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uzgodnienia do zgłoszenia robót budowlanych/uzyskania pozwolenia na budowę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FEF84" w14:textId="77777777" w:rsidR="002326D3" w:rsidRPr="00CB22DE" w:rsidRDefault="002326D3" w:rsidP="004C45E8">
      <w:pPr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 xml:space="preserve">specyfikację techniczną wykonania i odbioru robót budowlanych dla wszystkich   </w:t>
      </w:r>
    </w:p>
    <w:p w14:paraId="08348EDF" w14:textId="77777777" w:rsidR="002326D3" w:rsidRPr="00CB22DE" w:rsidRDefault="002326D3" w:rsidP="004C45E8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robót;</w:t>
      </w:r>
    </w:p>
    <w:p w14:paraId="6359B47C" w14:textId="77777777" w:rsidR="002326D3" w:rsidRPr="00CB22DE" w:rsidRDefault="002326D3" w:rsidP="004C45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przedmiar robót;</w:t>
      </w:r>
    </w:p>
    <w:p w14:paraId="036DF116" w14:textId="77777777" w:rsidR="002326D3" w:rsidRPr="00CB22DE" w:rsidRDefault="002326D3" w:rsidP="004C45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>kosztorys inwestorski;</w:t>
      </w:r>
    </w:p>
    <w:p w14:paraId="2BC68C05" w14:textId="77777777" w:rsidR="002326D3" w:rsidRPr="004C46D7" w:rsidRDefault="002326D3" w:rsidP="004C45E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DE">
        <w:rPr>
          <w:rFonts w:ascii="Times New Roman" w:hAnsi="Times New Roman" w:cs="Times New Roman"/>
          <w:sz w:val="24"/>
          <w:szCs w:val="24"/>
        </w:rPr>
        <w:t xml:space="preserve">wersję elektroniczną kompletnej dokumentacji na nośniku elektronicznym CD - format edytowalny pdf. </w:t>
      </w:r>
    </w:p>
    <w:p w14:paraId="7AF66A0A" w14:textId="77777777" w:rsidR="002326D3" w:rsidRPr="00F62495" w:rsidRDefault="002326D3" w:rsidP="002326D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4EF3BF" w14:textId="77777777" w:rsidR="002326D3" w:rsidRDefault="002326D3" w:rsidP="004C4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95">
        <w:rPr>
          <w:rFonts w:ascii="Times New Roman" w:hAnsi="Times New Roman" w:cs="Times New Roman"/>
          <w:b/>
          <w:sz w:val="24"/>
          <w:szCs w:val="24"/>
          <w:lang w:eastAsia="pl-PL"/>
        </w:rPr>
        <w:t>3.</w:t>
      </w:r>
      <w:r w:rsidRPr="00F624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71444">
        <w:rPr>
          <w:rFonts w:ascii="Times New Roman" w:hAnsi="Times New Roman" w:cs="Times New Roman"/>
          <w:sz w:val="24"/>
          <w:szCs w:val="24"/>
        </w:rPr>
        <w:t>Dokumentacja projektowa oświetlenia drogowego dla każdego zadania powinna uwzględniać wykonanie następujących elementów:</w:t>
      </w:r>
    </w:p>
    <w:p w14:paraId="21E9D8CE" w14:textId="77777777" w:rsidR="002326D3" w:rsidRPr="00371444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t>szafk</w:t>
      </w:r>
      <w:r>
        <w:rPr>
          <w:sz w:val="24"/>
          <w:szCs w:val="24"/>
        </w:rPr>
        <w:t>i</w:t>
      </w:r>
      <w:r w:rsidRPr="00371444">
        <w:rPr>
          <w:sz w:val="24"/>
          <w:szCs w:val="24"/>
        </w:rPr>
        <w:t xml:space="preserve"> oświetleniowe</w:t>
      </w:r>
      <w:r>
        <w:rPr>
          <w:sz w:val="24"/>
          <w:szCs w:val="24"/>
        </w:rPr>
        <w:t>j</w:t>
      </w:r>
      <w:r w:rsidRPr="00371444">
        <w:rPr>
          <w:sz w:val="24"/>
          <w:szCs w:val="24"/>
        </w:rPr>
        <w:t>/sterownicz</w:t>
      </w:r>
      <w:r>
        <w:rPr>
          <w:sz w:val="24"/>
          <w:szCs w:val="24"/>
        </w:rPr>
        <w:t>ej</w:t>
      </w:r>
      <w:r w:rsidRPr="00371444">
        <w:rPr>
          <w:sz w:val="24"/>
          <w:szCs w:val="24"/>
        </w:rPr>
        <w:t>;</w:t>
      </w:r>
    </w:p>
    <w:p w14:paraId="232F1853" w14:textId="77777777" w:rsidR="002326D3" w:rsidRPr="00371444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t>wykop pod ułożenie kabla;</w:t>
      </w:r>
    </w:p>
    <w:p w14:paraId="60C4F88C" w14:textId="77777777" w:rsidR="002326D3" w:rsidRPr="00371444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t>usypanie warstwy piasku na dnie wykopu kablowego;</w:t>
      </w:r>
    </w:p>
    <w:p w14:paraId="7F800F3D" w14:textId="77777777" w:rsidR="002326D3" w:rsidRPr="00371444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lastRenderedPageBreak/>
        <w:t>ułożenie kabla energetycznego;</w:t>
      </w:r>
    </w:p>
    <w:p w14:paraId="6ED58514" w14:textId="77777777" w:rsidR="002326D3" w:rsidRPr="00371444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t>projekt podłączenia do sieci energetycznej;</w:t>
      </w:r>
    </w:p>
    <w:p w14:paraId="105F3C17" w14:textId="77777777" w:rsidR="002326D3" w:rsidRPr="00371444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t>usytuowanie słupów oświetleniowych</w:t>
      </w:r>
    </w:p>
    <w:p w14:paraId="30910085" w14:textId="77777777" w:rsidR="002326D3" w:rsidRPr="00255893" w:rsidRDefault="002326D3" w:rsidP="004C45E8">
      <w:pPr>
        <w:pStyle w:val="Tekstpodstawowy"/>
        <w:numPr>
          <w:ilvl w:val="0"/>
          <w:numId w:val="39"/>
        </w:numPr>
        <w:spacing w:line="276" w:lineRule="auto"/>
        <w:ind w:left="1068"/>
        <w:rPr>
          <w:sz w:val="24"/>
          <w:szCs w:val="24"/>
        </w:rPr>
      </w:pPr>
      <w:r w:rsidRPr="00371444">
        <w:rPr>
          <w:sz w:val="24"/>
          <w:szCs w:val="24"/>
        </w:rPr>
        <w:t xml:space="preserve">usytuowanie oprawy oświetleniowe typu LED wraz z wysięgnikami. </w:t>
      </w:r>
    </w:p>
    <w:p w14:paraId="45CDB0B4" w14:textId="77777777" w:rsidR="002326D3" w:rsidRPr="00371444" w:rsidRDefault="002326D3" w:rsidP="004C4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C0AE" w14:textId="77777777" w:rsidR="002326D3" w:rsidRDefault="002326D3" w:rsidP="004C45E8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Przy projektowaniu oświetlenia należy uwzględnić zastosowanie inteligentnych systemów sterowania oświetleniem </w:t>
      </w:r>
      <w:r w:rsidRPr="00AB1824">
        <w:rPr>
          <w:sz w:val="24"/>
          <w:szCs w:val="24"/>
        </w:rPr>
        <w:t>umożliwiających</w:t>
      </w:r>
      <w:r>
        <w:rPr>
          <w:sz w:val="24"/>
          <w:szCs w:val="24"/>
        </w:rPr>
        <w:t>,</w:t>
      </w:r>
      <w:r w:rsidRPr="00AB1824">
        <w:rPr>
          <w:sz w:val="24"/>
          <w:szCs w:val="24"/>
        </w:rPr>
        <w:t xml:space="preserve"> wyłącz</w:t>
      </w:r>
      <w:r>
        <w:rPr>
          <w:sz w:val="24"/>
          <w:szCs w:val="24"/>
        </w:rPr>
        <w:t>en</w:t>
      </w:r>
      <w:r w:rsidRPr="00AB1824">
        <w:rPr>
          <w:sz w:val="24"/>
          <w:szCs w:val="24"/>
        </w:rPr>
        <w:t xml:space="preserve">ie czasowe poszczególnych sekcji </w:t>
      </w:r>
      <w:r>
        <w:rPr>
          <w:sz w:val="24"/>
          <w:szCs w:val="24"/>
        </w:rPr>
        <w:t xml:space="preserve">lub całego oświetlenia, </w:t>
      </w:r>
      <w:r w:rsidRPr="00AB1824">
        <w:rPr>
          <w:sz w:val="24"/>
          <w:szCs w:val="24"/>
        </w:rPr>
        <w:t>wyłączania co drugiej lampy, czasowej zmiany natężenia światła w</w:t>
      </w:r>
      <w:r>
        <w:rPr>
          <w:sz w:val="24"/>
          <w:szCs w:val="24"/>
        </w:rPr>
        <w:t> </w:t>
      </w:r>
      <w:r w:rsidRPr="00AB1824">
        <w:rPr>
          <w:sz w:val="24"/>
          <w:szCs w:val="24"/>
        </w:rPr>
        <w:t>porze nocnej</w:t>
      </w:r>
      <w:r>
        <w:rPr>
          <w:sz w:val="24"/>
          <w:szCs w:val="24"/>
        </w:rPr>
        <w:t>, m in:</w:t>
      </w:r>
    </w:p>
    <w:p w14:paraId="5AECC480" w14:textId="77777777" w:rsidR="002326D3" w:rsidRDefault="002326D3" w:rsidP="004C45E8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1)  programowalnych zdalnie (GSM i Bluetooth) wyłączników czasowych;</w:t>
      </w:r>
    </w:p>
    <w:p w14:paraId="483B54EA" w14:textId="77777777" w:rsidR="002326D3" w:rsidRDefault="002326D3" w:rsidP="004C45E8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2)  czujników zmierzchu i ruchu;</w:t>
      </w:r>
    </w:p>
    <w:p w14:paraId="27357CDC" w14:textId="77777777" w:rsidR="002326D3" w:rsidRDefault="002326D3" w:rsidP="004C45E8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3)  sterowników czasowych –„zegar astronomiczny”,</w:t>
      </w:r>
    </w:p>
    <w:p w14:paraId="4A03D452" w14:textId="77777777" w:rsidR="002326D3" w:rsidRDefault="002326D3" w:rsidP="00232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523CF" w14:textId="77777777" w:rsidR="002326D3" w:rsidRDefault="002326D3" w:rsidP="00232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Oświetlenia dróg rowerowych należy tak zaprojektować, aby lampy były skierowane w stronę </w:t>
      </w:r>
    </w:p>
    <w:p w14:paraId="4A6B83C1" w14:textId="77777777" w:rsidR="002326D3" w:rsidRPr="00AB1824" w:rsidRDefault="002326D3" w:rsidP="00232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jezdni przy której znajduje się ścieżka rowerowa.</w:t>
      </w:r>
    </w:p>
    <w:p w14:paraId="19AA6EDD" w14:textId="77777777" w:rsidR="002326D3" w:rsidRDefault="002326D3" w:rsidP="002326D3">
      <w:pPr>
        <w:pStyle w:val="Tekstpodstawowy"/>
        <w:rPr>
          <w:sz w:val="24"/>
          <w:szCs w:val="24"/>
        </w:rPr>
      </w:pPr>
    </w:p>
    <w:p w14:paraId="3A6BCF67" w14:textId="77777777" w:rsidR="002326D3" w:rsidRDefault="002326D3" w:rsidP="00232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projektowania Wykonawca przedstawi do akceptacji Zamawiającego proponowane rozwiązania określając koszt ich zastosowania w różnych wariantach.</w:t>
      </w:r>
    </w:p>
    <w:p w14:paraId="156561E5" w14:textId="5BB9148A" w:rsidR="002326D3" w:rsidRDefault="002326D3" w:rsidP="002326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C9892" w14:textId="1B4D991B" w:rsidR="009629C1" w:rsidRPr="00F62495" w:rsidRDefault="009629C1" w:rsidP="009629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2495">
        <w:rPr>
          <w:rFonts w:ascii="Times New Roman" w:hAnsi="Times New Roman" w:cs="Times New Roman"/>
          <w:b/>
          <w:sz w:val="24"/>
          <w:szCs w:val="24"/>
        </w:rPr>
        <w:t>.</w:t>
      </w:r>
      <w:r w:rsidRPr="00F62495">
        <w:rPr>
          <w:rFonts w:ascii="Times New Roman" w:hAnsi="Times New Roman" w:cs="Times New Roman"/>
          <w:sz w:val="24"/>
          <w:szCs w:val="24"/>
        </w:rPr>
        <w:t xml:space="preserve"> Dokumentację projektowo - kosztorysową </w:t>
      </w:r>
      <w:r>
        <w:rPr>
          <w:rFonts w:ascii="Times New Roman" w:hAnsi="Times New Roman" w:cs="Times New Roman"/>
          <w:sz w:val="24"/>
          <w:szCs w:val="24"/>
        </w:rPr>
        <w:t xml:space="preserve">dla każdej drogi </w:t>
      </w:r>
      <w:r w:rsidRPr="00F62495">
        <w:rPr>
          <w:rFonts w:ascii="Times New Roman" w:hAnsi="Times New Roman" w:cs="Times New Roman"/>
          <w:sz w:val="24"/>
          <w:szCs w:val="24"/>
        </w:rPr>
        <w:t>należy wykonać w następujących ilościach:</w:t>
      </w:r>
    </w:p>
    <w:p w14:paraId="5C25E191" w14:textId="77777777" w:rsidR="009629C1" w:rsidRPr="00F62495" w:rsidRDefault="009629C1" w:rsidP="009629C1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95">
        <w:rPr>
          <w:rFonts w:ascii="Times New Roman" w:hAnsi="Times New Roman" w:cs="Times New Roman"/>
          <w:sz w:val="24"/>
          <w:szCs w:val="24"/>
        </w:rPr>
        <w:t>projekt budowlan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2495">
        <w:rPr>
          <w:rFonts w:ascii="Times New Roman" w:hAnsi="Times New Roman" w:cs="Times New Roman"/>
          <w:sz w:val="24"/>
          <w:szCs w:val="24"/>
        </w:rPr>
        <w:t xml:space="preserve"> i wykonawcz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62495">
        <w:rPr>
          <w:rFonts w:ascii="Times New Roman" w:hAnsi="Times New Roman" w:cs="Times New Roman"/>
          <w:sz w:val="24"/>
          <w:szCs w:val="24"/>
        </w:rPr>
        <w:t xml:space="preserve"> w 5 egz. w wersji papierowej i w 1 egz. w wersji    elektronicznej na płycie CD w formacie DOC lub PDF</w:t>
      </w:r>
      <w:r>
        <w:rPr>
          <w:rFonts w:ascii="Times New Roman" w:hAnsi="Times New Roman" w:cs="Times New Roman"/>
          <w:sz w:val="24"/>
          <w:szCs w:val="24"/>
        </w:rPr>
        <w:t xml:space="preserve"> (edytowalny)</w:t>
      </w:r>
      <w:r w:rsidRPr="00F62495">
        <w:rPr>
          <w:rFonts w:ascii="Times New Roman" w:hAnsi="Times New Roman" w:cs="Times New Roman"/>
          <w:sz w:val="24"/>
          <w:szCs w:val="24"/>
        </w:rPr>
        <w:t xml:space="preserve"> oraz DWG;</w:t>
      </w:r>
    </w:p>
    <w:p w14:paraId="344B7149" w14:textId="77777777" w:rsidR="009629C1" w:rsidRPr="00F62495" w:rsidRDefault="009629C1" w:rsidP="009629C1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95">
        <w:rPr>
          <w:rFonts w:ascii="Times New Roman" w:hAnsi="Times New Roman" w:cs="Times New Roman"/>
          <w:sz w:val="24"/>
          <w:szCs w:val="24"/>
        </w:rPr>
        <w:t>przedmiar robót i kosztorys inwestorski w 2 egz. w wersji papierowej i 1 egz. w wersji  elektronicznej na płycie CD w wersji DOC i PDF</w:t>
      </w:r>
      <w:r>
        <w:rPr>
          <w:rFonts w:ascii="Times New Roman" w:hAnsi="Times New Roman" w:cs="Times New Roman"/>
          <w:sz w:val="24"/>
          <w:szCs w:val="24"/>
        </w:rPr>
        <w:t>(edytowalny)</w:t>
      </w:r>
      <w:r w:rsidRPr="00F62495">
        <w:rPr>
          <w:rFonts w:ascii="Times New Roman" w:hAnsi="Times New Roman" w:cs="Times New Roman"/>
          <w:sz w:val="24"/>
          <w:szCs w:val="24"/>
        </w:rPr>
        <w:t>;</w:t>
      </w:r>
    </w:p>
    <w:p w14:paraId="4D45CFCA" w14:textId="77777777" w:rsidR="009629C1" w:rsidRPr="00F62495" w:rsidRDefault="009629C1" w:rsidP="009629C1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95">
        <w:rPr>
          <w:rFonts w:ascii="Times New Roman" w:hAnsi="Times New Roman" w:cs="Times New Roman"/>
          <w:sz w:val="24"/>
          <w:szCs w:val="24"/>
        </w:rPr>
        <w:t>specyfikację techniczną wykonania i odbioru robót w 2 egz., w wersji papierowej i w 1 egz. w wersji elektronicznej na płycie CD w formacie DOC i PDF</w:t>
      </w:r>
      <w:r>
        <w:rPr>
          <w:rFonts w:ascii="Times New Roman" w:hAnsi="Times New Roman" w:cs="Times New Roman"/>
          <w:sz w:val="24"/>
          <w:szCs w:val="24"/>
        </w:rPr>
        <w:t>(edytowalny)</w:t>
      </w:r>
      <w:r w:rsidRPr="00F62495">
        <w:rPr>
          <w:rFonts w:ascii="Times New Roman" w:hAnsi="Times New Roman" w:cs="Times New Roman"/>
          <w:sz w:val="24"/>
          <w:szCs w:val="24"/>
        </w:rPr>
        <w:t>.</w:t>
      </w:r>
    </w:p>
    <w:p w14:paraId="0A416329" w14:textId="77777777" w:rsidR="009629C1" w:rsidRPr="00E55D3A" w:rsidRDefault="009629C1" w:rsidP="009629C1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95">
        <w:rPr>
          <w:rFonts w:ascii="Times New Roman" w:hAnsi="Times New Roman" w:cs="Times New Roman"/>
          <w:sz w:val="24"/>
          <w:szCs w:val="24"/>
        </w:rPr>
        <w:t>inne dokumenty w 2 egz., w wersji papierowej i w 1 egz. w wersji elektronicznej na płycie CD w formacie DOC i PDF</w:t>
      </w:r>
      <w:r>
        <w:rPr>
          <w:rFonts w:ascii="Times New Roman" w:hAnsi="Times New Roman" w:cs="Times New Roman"/>
          <w:sz w:val="24"/>
          <w:szCs w:val="24"/>
        </w:rPr>
        <w:t>(edytowalny)</w:t>
      </w:r>
      <w:r w:rsidRPr="00F62495">
        <w:rPr>
          <w:rFonts w:ascii="Times New Roman" w:hAnsi="Times New Roman" w:cs="Times New Roman"/>
          <w:sz w:val="24"/>
          <w:szCs w:val="24"/>
        </w:rPr>
        <w:t>.</w:t>
      </w:r>
    </w:p>
    <w:p w14:paraId="0985C928" w14:textId="3AD142FF" w:rsidR="009629C1" w:rsidRPr="00F62495" w:rsidRDefault="009629C1" w:rsidP="009629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24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62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jest zobowiązany do sprawdzenia wydanej mu przez Wykonawcę  dokumentacji projektowo-kosztorysowej. </w:t>
      </w:r>
    </w:p>
    <w:p w14:paraId="6655E8D1" w14:textId="77777777" w:rsidR="009629C1" w:rsidRPr="004C45E8" w:rsidRDefault="009629C1" w:rsidP="004C45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4205B" w14:textId="0940EDD6" w:rsidR="00A32B04" w:rsidRPr="001E4ED5" w:rsidRDefault="00A32B04" w:rsidP="000671F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>Szczegółowy p</w:t>
      </w:r>
      <w:r w:rsidRPr="00DC0DE2">
        <w:rPr>
          <w:b/>
          <w:sz w:val="24"/>
          <w:szCs w:val="24"/>
        </w:rPr>
        <w:t xml:space="preserve">rzedmiot umowy został opisany w projekcie umowy </w:t>
      </w:r>
      <w:r>
        <w:rPr>
          <w:b/>
          <w:sz w:val="24"/>
          <w:szCs w:val="24"/>
        </w:rPr>
        <w:t xml:space="preserve">stanowiący załącznik </w:t>
      </w:r>
      <w:r w:rsidR="0051067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 1</w:t>
      </w:r>
      <w:r w:rsidR="00B75C04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> </w:t>
      </w:r>
      <w:r w:rsidR="00510675">
        <w:rPr>
          <w:b/>
          <w:sz w:val="24"/>
          <w:szCs w:val="24"/>
        </w:rPr>
        <w:t>zapytania ofertowego</w:t>
      </w:r>
      <w:r>
        <w:rPr>
          <w:b/>
          <w:sz w:val="24"/>
          <w:szCs w:val="24"/>
        </w:rPr>
        <w:t>.</w:t>
      </w:r>
    </w:p>
    <w:p w14:paraId="4AA01336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wykonania </w:t>
      </w:r>
      <w:r w:rsidR="00FB456B"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</w:p>
    <w:p w14:paraId="7A0DE198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48267" w14:textId="068C8AF4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33B08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CA43E4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2937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5B5866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5B16A1" w14:textId="1AF0D767" w:rsidR="00A931CD" w:rsidRPr="00614083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>IV. Informacje dodatkowe</w:t>
      </w:r>
    </w:p>
    <w:p w14:paraId="417FC7B3" w14:textId="77777777" w:rsidR="00A931CD" w:rsidRPr="00614083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5E1CF41F" w14:textId="77777777" w:rsidR="00A931CD" w:rsidRPr="00614083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17CE262D" w14:textId="77777777" w:rsidR="00A931CD" w:rsidRPr="00614083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5A9B48D0" w14:textId="77777777" w:rsidR="00A931CD" w:rsidRPr="00614083" w:rsidRDefault="00A931CD" w:rsidP="003D7E0A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4543CF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Warunki udziału w post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0647136D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C0EB0D" w14:textId="77777777" w:rsidR="00A931CD" w:rsidRPr="00614083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14:paraId="5706433D" w14:textId="77777777"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264E5C32" w14:textId="77777777"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2733A642" w14:textId="77777777"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37DFF62" w14:textId="77777777"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3BAF812" w14:textId="77777777" w:rsidR="00A931CD" w:rsidRPr="00614083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614083">
        <w:rPr>
          <w:rFonts w:ascii="Times New Roman" w:hAnsi="Times New Roman" w:cs="Times New Roman"/>
          <w:sz w:val="24"/>
          <w:szCs w:val="24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B7720" w14:textId="77777777" w:rsidR="00A931CD" w:rsidRPr="00614083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46A5BD06" w14:textId="77777777" w:rsidR="00A931CD" w:rsidRPr="00614083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5F516412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8FF06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4CDC6604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28351" w14:textId="77777777" w:rsidR="00D12B38" w:rsidRPr="00614083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Do oferty Wykonawcy dołącza aktualne na dzień składania ofert</w:t>
      </w:r>
      <w:r w:rsidR="00D12B38" w:rsidRPr="00614083">
        <w:rPr>
          <w:rFonts w:ascii="Times New Roman" w:eastAsia="Calibri" w:hAnsi="Times New Roman" w:cs="Times New Roman"/>
          <w:sz w:val="24"/>
          <w:szCs w:val="24"/>
        </w:rPr>
        <w:t>: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B4886E" w14:textId="248447C9" w:rsidR="00D12B38" w:rsidRPr="00614083" w:rsidRDefault="00A931CD" w:rsidP="0061408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510675">
        <w:rPr>
          <w:rFonts w:ascii="Times New Roman" w:eastAsia="Calibri" w:hAnsi="Times New Roman" w:cs="Times New Roman"/>
          <w:sz w:val="24"/>
          <w:szCs w:val="24"/>
        </w:rPr>
        <w:t>;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E29ACF" w14:textId="77777777" w:rsidR="00D12B38" w:rsidRPr="00614083" w:rsidRDefault="00A931CD" w:rsidP="0061408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059CF89" w14:textId="40516DA8" w:rsidR="00A931CD" w:rsidRPr="00614083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(wz</w:t>
      </w:r>
      <w:r w:rsidR="00D12B38" w:rsidRPr="00614083">
        <w:rPr>
          <w:rFonts w:ascii="Times New Roman" w:eastAsia="Calibri" w:hAnsi="Times New Roman" w:cs="Times New Roman"/>
          <w:sz w:val="24"/>
          <w:szCs w:val="24"/>
        </w:rPr>
        <w:t>ory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6140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3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51067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4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407BC0E4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A3CA0F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6AFEFE43" w14:textId="2DC2CA59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- </w:t>
      </w:r>
      <w:r w:rsidR="003869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Bartłomiej Siwek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37, adres e-mail: </w:t>
      </w:r>
      <w:r w:rsidR="003869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bartlomiejsiwek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@gminachelmza.pl</w:t>
      </w:r>
    </w:p>
    <w:p w14:paraId="536D398A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453DE0" w14:textId="77777777" w:rsidR="00A931CD" w:rsidRPr="00614083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614083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50493811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58B9AC53" w14:textId="77777777" w:rsidR="003D17A0" w:rsidRDefault="003D17A0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8D5D6A" w14:textId="27789A06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25456667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72764E6A" w14:textId="77777777" w:rsidR="00A931CD" w:rsidRPr="00614083" w:rsidRDefault="00A931CD" w:rsidP="003D7E0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3FAB1FE9" w14:textId="77777777" w:rsidR="00A931CD" w:rsidRPr="00614083" w:rsidRDefault="00A931CD" w:rsidP="003D7E0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22F3FA99" w14:textId="2684D03E" w:rsidR="00A931CD" w:rsidRPr="00614083" w:rsidRDefault="00A931CD" w:rsidP="003D7E0A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 musi być podpisana przez osoby upoważnione do reprezentowania Wykonawcy, jeżeli z dokumentu określającego status prawny Wykonawcy (ów) lub pełnomocnictwa (pełnomocnictw)  wynika, że do reprezentowania Wykonawcy upoważnionych jest łącznie kilka osób – to wszystkie te osoby muszą podpisać ofertę</w:t>
      </w:r>
      <w:r w:rsidR="000D5C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5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 powinna by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614083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614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04E187F7" w14:textId="77777777" w:rsidR="00A931CD" w:rsidRPr="00614083" w:rsidRDefault="00A931CD" w:rsidP="00FD61C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29D40A" w14:textId="77777777" w:rsidR="006A5143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14:paraId="6EB85E25" w14:textId="77777777" w:rsidR="006A5143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614083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2009B77" w14:textId="77777777" w:rsidR="006A5143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technicznymi, normami i przepisami realizacji przedmiotu zamówienia;</w:t>
      </w:r>
    </w:p>
    <w:p w14:paraId="5C58FEF8" w14:textId="36D4C5EB" w:rsidR="008C62C5" w:rsidRPr="00614083" w:rsidRDefault="006A5143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  <w:r w:rsidR="005E09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3A48A8" w14:textId="37411D5E" w:rsidR="006A5143" w:rsidRPr="00614083" w:rsidRDefault="008C62C5" w:rsidP="003D7E0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sporządzonych przez Wykonawcę dokumentacji projektowych w okresie ostatnich 5 pełnych lat zakresem odpowiadających zamówieniu.</w:t>
      </w:r>
    </w:p>
    <w:p w14:paraId="200249B2" w14:textId="77777777" w:rsidR="00A931CD" w:rsidRPr="00614083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20463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1DFF11D3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5D5B868B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1B4579DC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5360ADF5" w14:textId="3A5574BE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Oświadczenia składane przez Wykonawcę oraz zobowiązanie innego podmiotu (jeśli dotyczy), których mowa w rozdziale VI muszą być złożone w formie oryginału, pozostałe dokumenty </w:t>
      </w:r>
      <w:r w:rsidRPr="00614083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</w:t>
      </w:r>
      <w:r w:rsidR="005E096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z wyłączeniem pełnomocnictw które należy złożyć w formie określonej w rozdziale IX ust. 1 pkt 4</w:t>
      </w:r>
      <w:r w:rsidRPr="00614083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</w:p>
    <w:p w14:paraId="3EFE8352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500A92B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4566C24B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123891C3" w14:textId="77777777" w:rsidR="00A931CD" w:rsidRPr="00614083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1F3CA981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F6E29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1D7212DB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A2E0E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04D5A868" w14:textId="77777777" w:rsidR="00A931CD" w:rsidRPr="00614083" w:rsidRDefault="00594F03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oferty, sporządzony na podstawie wzoru stanowiącego załącznik Nr 1 do zapytania;</w:t>
      </w:r>
    </w:p>
    <w:p w14:paraId="053342BA" w14:textId="77777777" w:rsidR="005E433E" w:rsidRPr="00614083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D95D55" w:rsidRPr="00614083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61408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 w:rsidRPr="00614083">
        <w:rPr>
          <w:rFonts w:ascii="Times New Roman" w:eastAsia="Calibri" w:hAnsi="Times New Roman" w:cs="Times New Roman"/>
          <w:sz w:val="24"/>
          <w:szCs w:val="24"/>
        </w:rPr>
        <w:t>;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937ED0" w14:textId="77777777" w:rsidR="005E433E" w:rsidRPr="00614083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61408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 w:rsidRPr="00614083"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2774AF9B" w14:textId="2DAB2061" w:rsidR="00D12B38" w:rsidRPr="00614083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>(wzory oświadczeń stanowią załączniki</w:t>
      </w:r>
      <w:r w:rsidRPr="006140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D5728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614083">
        <w:rPr>
          <w:rFonts w:ascii="Times New Roman" w:eastAsia="Calibri" w:hAnsi="Times New Roman" w:cs="Times New Roman"/>
          <w:sz w:val="24"/>
          <w:szCs w:val="24"/>
        </w:rPr>
        <w:t>4 do zapytania ofertowego).</w:t>
      </w:r>
      <w:r w:rsidR="00594F0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819012" w14:textId="77777777" w:rsidR="005E433E" w:rsidRPr="00614083" w:rsidRDefault="00D12B38" w:rsidP="00D12B3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dokument/ty poświadczający/e uprawnienia do sporządzenia dokumentacji objętych zamówieniem</w:t>
      </w:r>
      <w:r w:rsidR="005E433E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80D64E" w14:textId="581065F4" w:rsidR="005E433E" w:rsidRPr="00614083" w:rsidRDefault="005E433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wspólnego ubiegania się o zamówienie przez wykonawców oświadczenia, o których mowa w pkt 2 i 3 składa każdy z wykonawców wspólnie ubiegających się o zamówienie, oświadczenia te mają potwierdzać spełnianie warunków udziału w postępowaniu, brak podstaw do wykluczenia;</w:t>
      </w:r>
    </w:p>
    <w:p w14:paraId="0CAA7164" w14:textId="77777777" w:rsidR="008C62C5" w:rsidRPr="00614083" w:rsidRDefault="003A5181" w:rsidP="0061408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wykonawców wspólnie ubiegających się o udzielenie zamówienia, dokument ustanawiający pełnomocnika do reprezentowania ich w postępowaniu o udzielenie zamówienia albo reprezentowania w postępowaniu i zawarcia umowy</w:t>
      </w:r>
    </w:p>
    <w:p w14:paraId="01CCB0F8" w14:textId="77777777" w:rsidR="008C62C5" w:rsidRPr="00614083" w:rsidRDefault="008C62C5" w:rsidP="008C62C5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sporządzonych przez Wykonawcę dokumentacji projektowych w okresie ostatnich 5 pełnych lat zakresem odpowiadających zamówieniu.</w:t>
      </w:r>
    </w:p>
    <w:p w14:paraId="2F082B79" w14:textId="77777777" w:rsidR="00B75C04" w:rsidRPr="00614083" w:rsidRDefault="00B75C04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3585E5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355EE0E0" w14:textId="77777777" w:rsidR="00A931CD" w:rsidRPr="00614083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osobistego dostarczenia oferty należy ją złożyć w 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podawczym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13E5B8EF" w14:textId="4278EA49" w:rsidR="00A931CD" w:rsidRPr="00614083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nieprzekraczalnym terminie do dnia </w:t>
      </w:r>
      <w:r w:rsidR="00AA7D8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A7D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15</w:t>
      </w:r>
      <w:r w:rsidRPr="006140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faktyczny wpływ oferty do Urzędu Gminy Chełmża).</w:t>
      </w:r>
    </w:p>
    <w:p w14:paraId="6EF46E35" w14:textId="77777777" w:rsidR="00A931CD" w:rsidRPr="00614083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3234C8BD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2E05BA47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2CC7F170" w14:textId="3BD4AD0A" w:rsidR="00A931CD" w:rsidRPr="00614083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083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61408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C2937"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</w:t>
      </w:r>
      <w:r w:rsidR="00CA43E4" w:rsidRPr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projektowo-kosztorysowych na budowę oświetle</w:t>
      </w:r>
      <w:r w:rsidR="00E226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="00CA43E4" w:rsidRPr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26AB" w:rsidRPr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="00E226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dróg </w:t>
      </w:r>
      <w:r w:rsidR="00CA43E4" w:rsidRPr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Gminy Chełmża</w:t>
      </w:r>
      <w:r w:rsidR="00B75C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A43E4" w:rsidRPr="00CA43E4" w:rsidDel="00CA4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D78BB21" w14:textId="26D89057" w:rsidR="00A931CD" w:rsidRPr="00614083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Sygnatura sprawy: ZDT.7013.</w:t>
      </w:r>
      <w:r w:rsidR="008517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.2022</w:t>
      </w:r>
    </w:p>
    <w:p w14:paraId="4BAFD80D" w14:textId="77777777" w:rsidR="00A931CD" w:rsidRPr="00614083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5198ED5D" w14:textId="77777777" w:rsidR="00E226AB" w:rsidRDefault="00A931CD" w:rsidP="00E226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67C4E084" w14:textId="77777777" w:rsidR="00E226AB" w:rsidRDefault="00A931CD" w:rsidP="00E226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7BD61AB5" w14:textId="06E617D3" w:rsidR="00A931CD" w:rsidRPr="00E226AB" w:rsidRDefault="00A931CD" w:rsidP="00E226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5FCB8BE3" w14:textId="77777777" w:rsidR="00A931CD" w:rsidRPr="00614083" w:rsidRDefault="00A931CD" w:rsidP="00E226A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1EC2604E" w14:textId="77777777" w:rsidR="00A931CD" w:rsidRPr="00614083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21F545D6" w14:textId="77777777" w:rsidR="00A931CD" w:rsidRPr="00614083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wycofanych nie będą otwierane. </w:t>
      </w:r>
    </w:p>
    <w:p w14:paraId="5984F0BE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14863C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podaniem wag tych kryteriów i sposobu oceny ofert</w:t>
      </w:r>
    </w:p>
    <w:p w14:paraId="1A6E8424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D0127A" w14:textId="77777777"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75618B0A" w14:textId="77777777" w:rsidR="00A931CD" w:rsidRPr="00614083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3A1FEBBB" w14:textId="77777777" w:rsidR="00A931CD" w:rsidRPr="00614083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zostaną odrzucone przez Zamawiającego. </w:t>
      </w:r>
    </w:p>
    <w:p w14:paraId="75A32A64" w14:textId="77777777" w:rsidR="00A931CD" w:rsidRPr="00614083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CD5B586" w14:textId="77777777" w:rsidR="002326D3" w:rsidRDefault="002326D3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B7BCBA" w14:textId="77777777" w:rsidR="002326D3" w:rsidRDefault="002326D3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428239" w14:textId="1EBE25AA" w:rsidR="00A931CD" w:rsidRPr="00614083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614083" w14:paraId="16610B08" w14:textId="77777777" w:rsidTr="00D67D1C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4437C2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1C042A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D88E4E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49D83860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06F7A667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B763A1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477609C1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614083" w14:paraId="30174359" w14:textId="77777777" w:rsidTr="00D67D1C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F0E42F" w14:textId="77777777" w:rsidR="00A931CD" w:rsidRPr="00614083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6EB457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096292" w14:textId="77777777" w:rsidR="00A931CD" w:rsidRPr="00614083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40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077F6BAD" w14:textId="77777777" w:rsidR="00A931CD" w:rsidRPr="00614083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E52841F" w14:textId="77777777" w:rsidR="00A931CD" w:rsidRPr="00614083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A35C8B" w14:textId="77777777" w:rsidR="00A931CD" w:rsidRPr="00614083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5C22450B" w14:textId="77777777" w:rsidR="00A931CD" w:rsidRPr="00614083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BF9D46" w14:textId="77777777" w:rsidR="00A931CD" w:rsidRPr="00614083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37015DF2" w14:textId="77777777" w:rsidR="00A931CD" w:rsidRPr="00614083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 ( C )  =       --------------------------------------x 100 punktów </w:t>
      </w:r>
    </w:p>
    <w:p w14:paraId="4A7DECBF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6140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5BF04170" w14:textId="77777777" w:rsidR="00A931CD" w:rsidRPr="00614083" w:rsidRDefault="00A931CD" w:rsidP="003D7E0A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B0B4EAA" w14:textId="77777777" w:rsidR="00A931CD" w:rsidRPr="00614083" w:rsidRDefault="00A931CD" w:rsidP="003D7E0A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6BD59597" w14:textId="77777777"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 Zamawiający nie będzie mógł dokonać wyboru najkorzystniejszej oferty ze względu na to, że dwie lub więcej ofert będzie miało taki sam bilans ceny</w:t>
      </w:r>
      <w:r w:rsidR="00F3579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6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7BD8A6C8" w14:textId="77777777"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140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41833A45" w14:textId="77777777" w:rsidR="00A931CD" w:rsidRPr="00614083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140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625F4D65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28FDD8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289F45BA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42A699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74FDEDA2" w14:textId="77777777" w:rsidR="00A931CD" w:rsidRPr="00614083" w:rsidRDefault="00A931CD" w:rsidP="003D7E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4C924694" w14:textId="77777777" w:rsidR="00A931CD" w:rsidRPr="00614083" w:rsidRDefault="00A931CD" w:rsidP="003D7E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22AA8258" w14:textId="77777777" w:rsidR="00A931CD" w:rsidRPr="00614083" w:rsidRDefault="00A931CD" w:rsidP="003D7E0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02573700" w14:textId="77777777" w:rsidR="00A931CD" w:rsidRPr="00614083" w:rsidRDefault="00A931CD" w:rsidP="003D7E0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oczywiste omyłki rachunkowe z uwzględnieniem konsekwencji rachunkowych dokonanych poprawek, Zamawiający niezwłocznie powiadomi wykonawcę o dokonanych poprawkach. </w:t>
      </w:r>
    </w:p>
    <w:p w14:paraId="66E5A3FC" w14:textId="77777777" w:rsidR="00A931CD" w:rsidRPr="00614083" w:rsidRDefault="00A931CD" w:rsidP="003D7E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12D0E21A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7ECAF8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053D8FE6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25C60B27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39A68B2B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4535CCB5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3BFB1EA9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BD40A3E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0099C5FE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264D501B" w14:textId="77777777" w:rsidR="00A931CD" w:rsidRPr="00614083" w:rsidRDefault="00A931CD" w:rsidP="003D7E0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7F06E370" w14:textId="77777777" w:rsidR="003A5181" w:rsidRPr="00614083" w:rsidRDefault="003A5181" w:rsidP="00614083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03DE7" w14:textId="77777777" w:rsidR="00123CF8" w:rsidRPr="00614083" w:rsidRDefault="00123CF8" w:rsidP="003D7E0A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zastrzega sobie możliwość: </w:t>
      </w:r>
    </w:p>
    <w:p w14:paraId="0F63B30B" w14:textId="68FF30AC" w:rsidR="00123CF8" w:rsidRPr="00614083" w:rsidRDefault="005C0A74" w:rsidP="003D7E0A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123CF8" w:rsidRPr="00614083">
        <w:rPr>
          <w:rFonts w:ascii="Times New Roman" w:eastAsia="Times New Roman" w:hAnsi="Times New Roman" w:cs="Times New Roman"/>
          <w:sz w:val="24"/>
          <w:szCs w:val="24"/>
        </w:rPr>
        <w:t>akończenia postępo</w:t>
      </w:r>
      <w:r w:rsidR="003A5181" w:rsidRPr="00614083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86497" w14:textId="5D239580" w:rsidR="00123CF8" w:rsidRPr="00614083" w:rsidRDefault="005C0A74" w:rsidP="003D7E0A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23CF8" w:rsidRPr="00614083">
        <w:rPr>
          <w:rFonts w:ascii="Times New Roman" w:eastAsia="Times New Roman" w:hAnsi="Times New Roman" w:cs="Times New Roman"/>
          <w:sz w:val="24"/>
          <w:szCs w:val="24"/>
        </w:rPr>
        <w:t>dwołania postępowania do momentu złożenia ofert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23CF8" w:rsidRPr="006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97EC84" w14:textId="392B3B19" w:rsidR="00123CF8" w:rsidRPr="00614083" w:rsidRDefault="005C0A74" w:rsidP="003D7E0A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23CF8" w:rsidRPr="00614083">
        <w:rPr>
          <w:rFonts w:ascii="Times New Roman" w:eastAsia="Times New Roman" w:hAnsi="Times New Roman" w:cs="Times New Roman"/>
          <w:sz w:val="24"/>
          <w:szCs w:val="24"/>
        </w:rPr>
        <w:t xml:space="preserve">nieważnienia postępowania, jeśli: </w:t>
      </w:r>
    </w:p>
    <w:p w14:paraId="355960F1" w14:textId="4A8701A0" w:rsidR="003D7E0A" w:rsidRPr="00614083" w:rsidRDefault="00123CF8" w:rsidP="003D7E0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cena oferty najkorzystniejszej przekracza kwotę, którą Zamawiający może przeznaczyć na sfinansowanie zamówienia</w:t>
      </w:r>
      <w:r w:rsidR="005C0A7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E8C0FD" w14:textId="38564545" w:rsidR="003D7E0A" w:rsidRPr="00614083" w:rsidRDefault="00123CF8" w:rsidP="003D7E0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wystąpiła istotna zmiana okoliczności powodująca, iż realizacja zamówienia nie</w:t>
      </w:r>
      <w:r w:rsidR="00CA43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 leży w interesie Zamawiającego, czego nie można było przewidzieć w chwili wszczynania postępowania</w:t>
      </w:r>
      <w:r w:rsidR="005C0A7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06FAB" w14:textId="77777777" w:rsidR="00123CF8" w:rsidRPr="00614083" w:rsidRDefault="00123CF8" w:rsidP="003D7E0A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0F08D116" w14:textId="46580C3D" w:rsidR="00123CF8" w:rsidRPr="00614083" w:rsidRDefault="00123CF8" w:rsidP="003D7E0A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W przypadkach, o których mowa powyżej, Wykonawcy nie przysługują w stosunku do</w:t>
      </w:r>
      <w:r w:rsidR="00CA43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4083">
        <w:rPr>
          <w:rFonts w:ascii="Times New Roman" w:eastAsia="Times New Roman" w:hAnsi="Times New Roman" w:cs="Times New Roman"/>
          <w:sz w:val="24"/>
          <w:szCs w:val="24"/>
        </w:rPr>
        <w:t xml:space="preserve"> Zamawiającego żadne roszczenia odszkodowawcze. </w:t>
      </w:r>
    </w:p>
    <w:p w14:paraId="6049E3ED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B9D803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2DA0A78F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48E2D5" w14:textId="77777777" w:rsidR="00A931CD" w:rsidRPr="00614083" w:rsidRDefault="00A931CD" w:rsidP="003D7E0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1232BC9B" w14:textId="77777777" w:rsidR="00A931CD" w:rsidRPr="00614083" w:rsidRDefault="00A931CD" w:rsidP="003D7E0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3F7A34C4" w14:textId="77777777" w:rsidR="00A931CD" w:rsidRPr="00614083" w:rsidRDefault="00A931CD" w:rsidP="003D7E0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4E470E5B" w14:textId="77777777" w:rsidR="00A931CD" w:rsidRPr="00614083" w:rsidRDefault="00A931CD" w:rsidP="003D7E0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16FE9A05" w14:textId="77777777" w:rsidR="00A931CD" w:rsidRPr="00614083" w:rsidRDefault="00A931CD" w:rsidP="003D7E0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406766F1" w14:textId="77777777" w:rsidR="00A931CD" w:rsidRPr="00614083" w:rsidRDefault="00A931CD" w:rsidP="003D7E0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złożono żadnej oferty nie podlegającej odrzuceniu;</w:t>
      </w:r>
    </w:p>
    <w:p w14:paraId="59E4FD12" w14:textId="7B089CFF" w:rsidR="00A931CD" w:rsidRPr="00614083" w:rsidRDefault="00A931CD" w:rsidP="003D7E0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</w:t>
      </w:r>
      <w:r w:rsidR="00CA43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do ceny najkorzystniejszej oferty;</w:t>
      </w:r>
    </w:p>
    <w:p w14:paraId="40CD8D5B" w14:textId="77777777" w:rsidR="00A931CD" w:rsidRPr="00614083" w:rsidRDefault="00A931CD" w:rsidP="003D7E0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28B4B287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31B00C" w14:textId="77777777" w:rsidR="00A931CD" w:rsidRPr="00614083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6FF85FF7" w14:textId="77777777" w:rsidR="00A75BCE" w:rsidRPr="00614083" w:rsidRDefault="006A5143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867DDE" w14:textId="71533E1E" w:rsidR="00A931CD" w:rsidRDefault="00A931CD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2182FD76" w14:textId="77777777" w:rsidR="00CA43E4" w:rsidRPr="00614083" w:rsidRDefault="00CA43E4" w:rsidP="000671FA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7804C" w14:textId="77777777" w:rsidR="00A931CD" w:rsidRPr="00614083" w:rsidRDefault="00A931CD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1F21A480" w14:textId="77777777" w:rsidR="00A931CD" w:rsidRPr="00614083" w:rsidRDefault="00A931CD" w:rsidP="003D7E0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8B08183" w14:textId="77777777" w:rsidR="00A931CD" w:rsidRPr="00614083" w:rsidRDefault="00A931CD" w:rsidP="003D7E0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56657593" w14:textId="60AC425A" w:rsidR="00A931CD" w:rsidRPr="00614083" w:rsidRDefault="00A931CD" w:rsidP="003D7E0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A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14083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projektem umowy. </w:t>
      </w:r>
    </w:p>
    <w:p w14:paraId="0D5C7354" w14:textId="77777777" w:rsidR="00A931CD" w:rsidRPr="00614083" w:rsidRDefault="00A931CD" w:rsidP="003D7E0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14:paraId="2EC118B6" w14:textId="77777777" w:rsidR="00A931CD" w:rsidRPr="00614083" w:rsidRDefault="00A931CD" w:rsidP="003D7E0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40DDC4A0" w14:textId="77777777" w:rsidR="00A931CD" w:rsidRPr="00614083" w:rsidRDefault="00A931CD" w:rsidP="003D7E0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16CD050B" w14:textId="77777777" w:rsidR="00A931CD" w:rsidRPr="00614083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474572" w14:textId="77777777" w:rsidR="00A931CD" w:rsidRPr="00614083" w:rsidRDefault="00A931CD" w:rsidP="003D7E0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13400713" w14:textId="77777777" w:rsidR="004110B8" w:rsidRPr="00614083" w:rsidRDefault="00A931CD" w:rsidP="003D7E0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14:paraId="1A5C2385" w14:textId="77777777" w:rsidR="004110B8" w:rsidRPr="00614083" w:rsidRDefault="009552E4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5BCB60F5" w14:textId="77777777" w:rsidR="004110B8" w:rsidRPr="00614083" w:rsidRDefault="00A931CD" w:rsidP="004110B8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24538753" w14:textId="77777777" w:rsidR="004110B8" w:rsidRPr="00614083" w:rsidRDefault="00A931CD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14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614083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614083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614083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61408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7B3958" w14:textId="77777777" w:rsidR="004110B8" w:rsidRPr="00614083" w:rsidRDefault="00A931CD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4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614083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614083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1953B5AB" w14:textId="77777777" w:rsidR="00D90C45" w:rsidRPr="00614083" w:rsidRDefault="00A931CD" w:rsidP="003D7E0A">
      <w:pPr>
        <w:pStyle w:val="Akapitzlist"/>
        <w:widowControl w:val="0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614083">
        <w:rPr>
          <w:rFonts w:ascii="Times New Roman" w:eastAsia="Calibri" w:hAnsi="Times New Roman" w:cs="Times New Roman"/>
          <w:sz w:val="24"/>
          <w:szCs w:val="24"/>
        </w:rPr>
        <w:t>5</w:t>
      </w:r>
      <w:r w:rsidRPr="00614083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614083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6140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6D2CA6" w14:textId="77777777" w:rsidR="00D95D55" w:rsidRPr="00614083" w:rsidRDefault="00D95D55" w:rsidP="00614083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61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3BD9"/>
    <w:multiLevelType w:val="multilevel"/>
    <w:tmpl w:val="E1202E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E6E19"/>
    <w:multiLevelType w:val="hybridMultilevel"/>
    <w:tmpl w:val="FD2AD6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F2B3B"/>
    <w:multiLevelType w:val="hybridMultilevel"/>
    <w:tmpl w:val="978C4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72A3"/>
    <w:multiLevelType w:val="multilevel"/>
    <w:tmpl w:val="E93E9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733C"/>
    <w:multiLevelType w:val="hybridMultilevel"/>
    <w:tmpl w:val="A088077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2240E"/>
    <w:multiLevelType w:val="multilevel"/>
    <w:tmpl w:val="13E6A20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F4503E"/>
    <w:multiLevelType w:val="multilevel"/>
    <w:tmpl w:val="832EEF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85F61"/>
    <w:multiLevelType w:val="hybridMultilevel"/>
    <w:tmpl w:val="765C2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0D84"/>
    <w:multiLevelType w:val="hybridMultilevel"/>
    <w:tmpl w:val="7194B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13C8"/>
    <w:multiLevelType w:val="hybridMultilevel"/>
    <w:tmpl w:val="B6EE7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567E0"/>
    <w:multiLevelType w:val="multilevel"/>
    <w:tmpl w:val="88245D5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E20A3D"/>
    <w:multiLevelType w:val="hybridMultilevel"/>
    <w:tmpl w:val="07909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B790C"/>
    <w:multiLevelType w:val="hybridMultilevel"/>
    <w:tmpl w:val="8B02394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8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5B1CF8"/>
    <w:multiLevelType w:val="hybridMultilevel"/>
    <w:tmpl w:val="310A9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8"/>
  </w:num>
  <w:num w:numId="23">
    <w:abstractNumId w:val="5"/>
  </w:num>
  <w:num w:numId="24">
    <w:abstractNumId w:val="17"/>
  </w:num>
  <w:num w:numId="25">
    <w:abstractNumId w:val="37"/>
  </w:num>
  <w:num w:numId="26">
    <w:abstractNumId w:val="3"/>
  </w:num>
  <w:num w:numId="27">
    <w:abstractNumId w:val="11"/>
  </w:num>
  <w:num w:numId="28">
    <w:abstractNumId w:val="24"/>
  </w:num>
  <w:num w:numId="29">
    <w:abstractNumId w:val="34"/>
  </w:num>
  <w:num w:numId="30">
    <w:abstractNumId w:val="23"/>
  </w:num>
  <w:num w:numId="31">
    <w:abstractNumId w:val="19"/>
  </w:num>
  <w:num w:numId="32">
    <w:abstractNumId w:val="2"/>
  </w:num>
  <w:num w:numId="33">
    <w:abstractNumId w:val="33"/>
  </w:num>
  <w:num w:numId="34">
    <w:abstractNumId w:val="33"/>
  </w:num>
  <w:num w:numId="35">
    <w:abstractNumId w:val="16"/>
  </w:num>
  <w:num w:numId="36">
    <w:abstractNumId w:val="21"/>
  </w:num>
  <w:num w:numId="37">
    <w:abstractNumId w:val="30"/>
  </w:num>
  <w:num w:numId="38">
    <w:abstractNumId w:val="9"/>
  </w:num>
  <w:num w:numId="39">
    <w:abstractNumId w:val="3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 w:comments="0" w:insDel="0" w:formatting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671FA"/>
    <w:rsid w:val="000A72B5"/>
    <w:rsid w:val="000D5C6A"/>
    <w:rsid w:val="001067EE"/>
    <w:rsid w:val="00123CF8"/>
    <w:rsid w:val="00154E63"/>
    <w:rsid w:val="001D0350"/>
    <w:rsid w:val="001E4ED5"/>
    <w:rsid w:val="002326D3"/>
    <w:rsid w:val="002B1D1D"/>
    <w:rsid w:val="002C5B5B"/>
    <w:rsid w:val="00303331"/>
    <w:rsid w:val="003705D4"/>
    <w:rsid w:val="003869AF"/>
    <w:rsid w:val="00393AF5"/>
    <w:rsid w:val="003A5181"/>
    <w:rsid w:val="003D17A0"/>
    <w:rsid w:val="003D7E0A"/>
    <w:rsid w:val="004110B8"/>
    <w:rsid w:val="004B2271"/>
    <w:rsid w:val="004C45E8"/>
    <w:rsid w:val="00510675"/>
    <w:rsid w:val="00565D75"/>
    <w:rsid w:val="00585DAB"/>
    <w:rsid w:val="00594F03"/>
    <w:rsid w:val="005A3B9E"/>
    <w:rsid w:val="005C0A74"/>
    <w:rsid w:val="005E096C"/>
    <w:rsid w:val="005E433E"/>
    <w:rsid w:val="00614083"/>
    <w:rsid w:val="006954F9"/>
    <w:rsid w:val="00697BCC"/>
    <w:rsid w:val="006A5143"/>
    <w:rsid w:val="006B581F"/>
    <w:rsid w:val="007778D5"/>
    <w:rsid w:val="00784681"/>
    <w:rsid w:val="0078529D"/>
    <w:rsid w:val="007D7D77"/>
    <w:rsid w:val="00844B24"/>
    <w:rsid w:val="0085178A"/>
    <w:rsid w:val="00886D9C"/>
    <w:rsid w:val="00890857"/>
    <w:rsid w:val="008C62C5"/>
    <w:rsid w:val="00913E2A"/>
    <w:rsid w:val="00923EBB"/>
    <w:rsid w:val="00952BCA"/>
    <w:rsid w:val="009552E4"/>
    <w:rsid w:val="009629C1"/>
    <w:rsid w:val="009A78DF"/>
    <w:rsid w:val="00A32B04"/>
    <w:rsid w:val="00A33B08"/>
    <w:rsid w:val="00A75BCE"/>
    <w:rsid w:val="00A931CD"/>
    <w:rsid w:val="00AA7D83"/>
    <w:rsid w:val="00AC2937"/>
    <w:rsid w:val="00B75C04"/>
    <w:rsid w:val="00C27FD4"/>
    <w:rsid w:val="00C6260D"/>
    <w:rsid w:val="00CA43E4"/>
    <w:rsid w:val="00CC5BB0"/>
    <w:rsid w:val="00CD7712"/>
    <w:rsid w:val="00D12B38"/>
    <w:rsid w:val="00D21262"/>
    <w:rsid w:val="00D5728F"/>
    <w:rsid w:val="00D73CFF"/>
    <w:rsid w:val="00D90C45"/>
    <w:rsid w:val="00D95D55"/>
    <w:rsid w:val="00DC4424"/>
    <w:rsid w:val="00DE3650"/>
    <w:rsid w:val="00E131C3"/>
    <w:rsid w:val="00E226AB"/>
    <w:rsid w:val="00F04A71"/>
    <w:rsid w:val="00F35793"/>
    <w:rsid w:val="00FB456B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BBAE"/>
  <w15:docId w15:val="{5F122C26-B0FD-411E-B55B-82B46A4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4ED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32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26D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minachelmza.pl" TargetMode="External"/><Relationship Id="rId5" Type="http://schemas.openxmlformats.org/officeDocument/2006/relationships/hyperlink" Target="http://www.gminachel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3268</Words>
  <Characters>19613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Bartłomiej Siwek</cp:lastModifiedBy>
  <cp:revision>12</cp:revision>
  <cp:lastPrinted>2022-03-10T08:03:00Z</cp:lastPrinted>
  <dcterms:created xsi:type="dcterms:W3CDTF">2022-03-11T06:20:00Z</dcterms:created>
  <dcterms:modified xsi:type="dcterms:W3CDTF">2022-03-15T13:00:00Z</dcterms:modified>
</cp:coreProperties>
</file>