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90DA" w14:textId="5D023BEB" w:rsidR="0061511F" w:rsidRDefault="0061511F" w:rsidP="0061511F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Chełmża, dnia </w:t>
      </w:r>
      <w:r w:rsidR="00D677D3">
        <w:rPr>
          <w:rFonts w:ascii="Times New Roman" w:hAnsi="Times New Roman"/>
          <w:szCs w:val="24"/>
          <w:lang w:eastAsia="zh-CN"/>
        </w:rPr>
        <w:t>2</w:t>
      </w:r>
      <w:r w:rsidR="00C60D5D">
        <w:rPr>
          <w:rFonts w:ascii="Times New Roman" w:hAnsi="Times New Roman"/>
          <w:szCs w:val="24"/>
          <w:lang w:eastAsia="zh-CN"/>
        </w:rPr>
        <w:t>3 czerwca</w:t>
      </w:r>
      <w:r>
        <w:rPr>
          <w:rFonts w:ascii="Times New Roman" w:hAnsi="Times New Roman"/>
          <w:szCs w:val="24"/>
          <w:lang w:eastAsia="zh-CN"/>
        </w:rPr>
        <w:t xml:space="preserve"> 2025 r.</w:t>
      </w:r>
    </w:p>
    <w:p w14:paraId="6BABE797" w14:textId="79E395E2" w:rsidR="0061511F" w:rsidRPr="00FE5D17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  <w:r w:rsidRPr="00FE5D17">
        <w:rPr>
          <w:rFonts w:ascii="Times New Roman" w:hAnsi="Times New Roman"/>
          <w:szCs w:val="24"/>
          <w:lang w:eastAsia="zh-CN"/>
        </w:rPr>
        <w:t>GKOŚ.</w:t>
      </w:r>
      <w:r>
        <w:rPr>
          <w:rFonts w:ascii="Times New Roman" w:hAnsi="Times New Roman"/>
          <w:szCs w:val="24"/>
        </w:rPr>
        <w:t>6220.</w:t>
      </w:r>
      <w:r w:rsidR="00D677D3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eastAsia="zh-CN"/>
        </w:rPr>
        <w:t>2025</w:t>
      </w:r>
    </w:p>
    <w:p w14:paraId="460FAF4D" w14:textId="77777777" w:rsidR="0061511F" w:rsidRPr="00FE5D17" w:rsidRDefault="0061511F" w:rsidP="0061511F">
      <w:pPr>
        <w:suppressAutoHyphens/>
        <w:rPr>
          <w:rFonts w:ascii="Times New Roman" w:hAnsi="Times New Roman"/>
          <w:sz w:val="20"/>
          <w:lang w:eastAsia="zh-CN"/>
        </w:rPr>
      </w:pPr>
    </w:p>
    <w:p w14:paraId="3B6E7700" w14:textId="5A102593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OBWIESZCZENIE</w:t>
      </w:r>
    </w:p>
    <w:p w14:paraId="17D821E1" w14:textId="77777777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Wójta Gminy Chełmża</w:t>
      </w:r>
    </w:p>
    <w:p w14:paraId="59987746" w14:textId="77777777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1509B6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77777777" w:rsidR="00F84F6C" w:rsidRPr="001509B6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</w:p>
    <w:p w14:paraId="1CC11F15" w14:textId="0A71938E" w:rsidR="001509B6" w:rsidRPr="00B90AF1" w:rsidRDefault="001509B6" w:rsidP="001509B6">
      <w:pPr>
        <w:suppressAutoHyphens/>
        <w:spacing w:line="276" w:lineRule="auto"/>
        <w:jc w:val="both"/>
        <w:rPr>
          <w:rFonts w:ascii="Times New Roman" w:hAnsi="Times New Roman"/>
          <w:szCs w:val="24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Na podstawie art. 36 </w:t>
      </w:r>
      <w:r w:rsidRPr="00B90AF1">
        <w:rPr>
          <w:rFonts w:ascii="Times New Roman" w:hAnsi="Times New Roman"/>
          <w:color w:val="000000" w:themeColor="text1"/>
          <w:szCs w:val="24"/>
        </w:rPr>
        <w:t>i art. 49</w:t>
      </w:r>
      <w:r w:rsidRPr="00B90AF1">
        <w:rPr>
          <w:rFonts w:ascii="Times New Roman" w:hAnsi="Times New Roman"/>
          <w:szCs w:val="24"/>
          <w:lang w:eastAsia="zh-CN"/>
        </w:rPr>
        <w:t xml:space="preserve"> ustawy z dnia 14 czerwca 1960 r. Kodeks postępowania administracyjnego (t.j. Dz.U. z 2024 r. poz. 572) dalej Kpa, w związku z art. 74 ust. 3 ustawy z dnia 3 października</w:t>
      </w:r>
      <w:r w:rsidR="00B90AF1">
        <w:rPr>
          <w:rFonts w:ascii="Times New Roman" w:hAnsi="Times New Roman"/>
          <w:szCs w:val="24"/>
          <w:lang w:eastAsia="zh-CN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 xml:space="preserve">2008 r. o udostępnianiu informacji o środowisku i jego ochronie, udziale społeczeństwa w ochronie środowiska oraz o ocenach oddziaływania na środowisko (t.j. Dz. U. z 2024 r., poz. 1112), dalej ustawa, Wójt Gminy Chełmża </w:t>
      </w:r>
    </w:p>
    <w:p w14:paraId="37D2356E" w14:textId="053D3D84" w:rsidR="001509B6" w:rsidRPr="00B90AF1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b/>
          <w:bCs/>
          <w:szCs w:val="24"/>
          <w:lang w:eastAsia="zh-CN"/>
        </w:rPr>
        <w:t>zawiadamia</w:t>
      </w:r>
      <w:r w:rsidR="00270672">
        <w:rPr>
          <w:rFonts w:ascii="Times New Roman" w:hAnsi="Times New Roman"/>
          <w:b/>
          <w:bCs/>
          <w:szCs w:val="24"/>
          <w:lang w:eastAsia="zh-CN"/>
        </w:rPr>
        <w:t>,</w:t>
      </w:r>
      <w:r w:rsidRPr="00B90AF1">
        <w:rPr>
          <w:rFonts w:ascii="Times New Roman" w:hAnsi="Times New Roman"/>
          <w:b/>
          <w:bCs/>
          <w:szCs w:val="24"/>
          <w:lang w:eastAsia="zh-CN"/>
        </w:rPr>
        <w:t xml:space="preserve"> </w:t>
      </w:r>
    </w:p>
    <w:p w14:paraId="2AD1C968" w14:textId="46438A42" w:rsidR="00D677D3" w:rsidRPr="00B90AF1" w:rsidRDefault="001509B6" w:rsidP="00D677D3">
      <w:pPr>
        <w:suppressAutoHyphens/>
        <w:spacing w:line="276" w:lineRule="auto"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że </w:t>
      </w:r>
      <w:r w:rsidR="00D677D3" w:rsidRPr="00B90AF1">
        <w:rPr>
          <w:rFonts w:ascii="Times New Roman" w:hAnsi="Times New Roman"/>
          <w:szCs w:val="24"/>
          <w:lang w:eastAsia="zh-CN"/>
        </w:rPr>
        <w:t>prowadzone postępowanie administracyjne, w sprawie wydania decyzji o środowiskowych uwarunkowaniach dla przedsięwzięcia polegającego na wprowadzeniu procesu produkcji wykładzin poliestrowo-szklanych impregnowanych żywicą w zakładzie POliner Sp. z o.o. w</w:t>
      </w:r>
      <w:r w:rsidR="00346AE3">
        <w:rPr>
          <w:rFonts w:ascii="Times New Roman" w:hAnsi="Times New Roman"/>
          <w:szCs w:val="24"/>
          <w:lang w:eastAsia="zh-CN"/>
        </w:rPr>
        <w:t> </w:t>
      </w:r>
      <w:r w:rsidR="00D677D3" w:rsidRPr="00B90AF1">
        <w:rPr>
          <w:rFonts w:ascii="Times New Roman" w:hAnsi="Times New Roman"/>
          <w:szCs w:val="24"/>
          <w:lang w:eastAsia="zh-CN"/>
        </w:rPr>
        <w:t xml:space="preserve">miejscowości Grzywna 174, 87-140 Chełmża, wraz z modernizacją zakładu, </w:t>
      </w:r>
      <w:r w:rsidR="00D677D3" w:rsidRPr="00B90AF1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0634E223" w14:textId="77777777" w:rsidR="00D677D3" w:rsidRPr="00B90AF1" w:rsidRDefault="00D677D3" w:rsidP="00D677D3">
      <w:pPr>
        <w:suppressAutoHyphens/>
        <w:spacing w:line="276" w:lineRule="auto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22DEC5BC" w14:textId="64E971C4" w:rsidR="00D677D3" w:rsidRDefault="00D677D3" w:rsidP="00D677D3">
      <w:pPr>
        <w:suppressAutoHyphens/>
        <w:spacing w:line="276" w:lineRule="auto"/>
        <w:jc w:val="both"/>
        <w:rPr>
          <w:rFonts w:ascii="Times New Roman" w:hAnsi="Times New Roman"/>
          <w:szCs w:val="24"/>
          <w:u w:val="single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Przewidywany nowy termin załatwienia sprawy ustala się do </w:t>
      </w:r>
      <w:r w:rsidR="00C60D5D">
        <w:rPr>
          <w:rFonts w:ascii="Times New Roman" w:hAnsi="Times New Roman"/>
          <w:szCs w:val="24"/>
          <w:u w:val="single"/>
          <w:lang w:eastAsia="zh-CN"/>
        </w:rPr>
        <w:t xml:space="preserve">14 lipca </w:t>
      </w:r>
      <w:r w:rsidRPr="00B90AF1">
        <w:rPr>
          <w:rFonts w:ascii="Times New Roman" w:hAnsi="Times New Roman"/>
          <w:szCs w:val="24"/>
          <w:u w:val="single"/>
          <w:lang w:eastAsia="zh-CN"/>
        </w:rPr>
        <w:t>2025 r.</w:t>
      </w:r>
    </w:p>
    <w:p w14:paraId="0C09897D" w14:textId="77777777" w:rsidR="00B90AF1" w:rsidRPr="00B90AF1" w:rsidRDefault="00B90AF1" w:rsidP="00D677D3">
      <w:pPr>
        <w:suppressAutoHyphens/>
        <w:spacing w:line="276" w:lineRule="auto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6864B339" w14:textId="182DEA96" w:rsidR="008B2BE4" w:rsidRDefault="008B2BE4" w:rsidP="00F325A9">
      <w:pPr>
        <w:pStyle w:val="NormalnyWeb"/>
        <w:spacing w:before="0" w:beforeAutospacing="0" w:after="0" w:afterAutospacing="0"/>
        <w:jc w:val="both"/>
      </w:pPr>
      <w:r>
        <w:t xml:space="preserve">Niezałatwienie sprawy w ustawowym terminie wynika z konieczności zebrania pełnego materiału dowodowego oraz przeprowadzenia jego analizy i oceny. W związku z uzupełnieniem dokumentacji przez </w:t>
      </w:r>
      <w:r w:rsidR="0043653E">
        <w:t>I</w:t>
      </w:r>
      <w:r>
        <w:t>nwestora oraz oczekiwaniem na ponown</w:t>
      </w:r>
      <w:r w:rsidR="00DA55AB">
        <w:t>e</w:t>
      </w:r>
      <w:r>
        <w:t xml:space="preserve"> opinie właściwych organów</w:t>
      </w:r>
      <w:r w:rsidRPr="00B90AF1">
        <w:t>, Wójt Gminy Chełmża wyznaczył nowy termin załatwienia sprawy, mając również na uwadze skomplikowany charakter sprawy oraz konieczność przeprowadzenia szczegółowej analizy prawnej i merytorycznej zebranych materiałów.</w:t>
      </w:r>
    </w:p>
    <w:p w14:paraId="5FC01BEE" w14:textId="77777777" w:rsidR="00F325A9" w:rsidRPr="00B90AF1" w:rsidRDefault="00F325A9" w:rsidP="00F325A9">
      <w:pPr>
        <w:pStyle w:val="NormalnyWeb"/>
        <w:spacing w:before="0" w:beforeAutospacing="0" w:after="0" w:afterAutospacing="0"/>
        <w:jc w:val="both"/>
      </w:pPr>
    </w:p>
    <w:p w14:paraId="400B20A1" w14:textId="3E47EB8F" w:rsidR="001509B6" w:rsidRPr="00B90AF1" w:rsidRDefault="001509B6" w:rsidP="00F325A9">
      <w:pPr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Jednocześnie informuje, że na podstawie art. 37 § 1 Kpa stronie służy prawo do wniesienia ponaglenia, jeżeli:</w:t>
      </w:r>
    </w:p>
    <w:p w14:paraId="05EFA139" w14:textId="77777777" w:rsidR="001509B6" w:rsidRPr="00B90AF1" w:rsidRDefault="001509B6" w:rsidP="00B90AF1">
      <w:pPr>
        <w:numPr>
          <w:ilvl w:val="0"/>
          <w:numId w:val="4"/>
        </w:numPr>
        <w:spacing w:before="100" w:beforeAutospacing="1" w:line="276" w:lineRule="auto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5508CE4A" w14:textId="77777777" w:rsidR="001509B6" w:rsidRPr="00B90AF1" w:rsidRDefault="001509B6" w:rsidP="00B90AF1">
      <w:pPr>
        <w:numPr>
          <w:ilvl w:val="0"/>
          <w:numId w:val="4"/>
        </w:numPr>
        <w:spacing w:before="100" w:beforeAutospacing="1" w:line="276" w:lineRule="auto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4DDECAC4" w14:textId="77777777" w:rsidR="001509B6" w:rsidRPr="00B90AF1" w:rsidRDefault="001509B6" w:rsidP="00B90AF1">
      <w:p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B90AF1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>w terminie określonym w art. 35 Kpa.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6A9B55C" w14:textId="6DAB21DF" w:rsidR="00F84F6C" w:rsidRPr="00B90AF1" w:rsidRDefault="00F84F6C" w:rsidP="00F84F6C">
      <w:p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B90AF1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279F5F78" w14:textId="77777777" w:rsidR="00F84F6C" w:rsidRPr="00B90AF1" w:rsidRDefault="00F84F6C" w:rsidP="00F84F6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na tablicy ogłoszeń w Urzędzie Gminy Chełmża oraz miejscowości Grzywna;</w:t>
      </w:r>
    </w:p>
    <w:p w14:paraId="281E384A" w14:textId="77777777" w:rsidR="00F84F6C" w:rsidRPr="00B90AF1" w:rsidRDefault="00F84F6C" w:rsidP="00F84F6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na Biuletynie Informacji Publicznej Gminy Chełmża:</w:t>
      </w:r>
    </w:p>
    <w:p w14:paraId="2A62437A" w14:textId="77777777" w:rsidR="00F84F6C" w:rsidRPr="00B90AF1" w:rsidRDefault="00F84F6C" w:rsidP="00F84F6C">
      <w:pPr>
        <w:spacing w:line="276" w:lineRule="auto"/>
        <w:ind w:left="720"/>
        <w:jc w:val="both"/>
        <w:rPr>
          <w:rFonts w:ascii="Times New Roman" w:hAnsi="Times New Roman"/>
          <w:szCs w:val="24"/>
        </w:rPr>
      </w:pPr>
      <w:hyperlink r:id="rId7" w:history="1">
        <w:r w:rsidRPr="00B90AF1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B90AF1">
        <w:rPr>
          <w:rFonts w:ascii="Times New Roman" w:hAnsi="Times New Roman"/>
          <w:szCs w:val="24"/>
        </w:rPr>
        <w:t xml:space="preserve"> </w:t>
      </w:r>
    </w:p>
    <w:p w14:paraId="16C37BEF" w14:textId="77777777" w:rsidR="00F84F6C" w:rsidRPr="00F325A9" w:rsidRDefault="00F84F6C" w:rsidP="00F84F6C">
      <w:pPr>
        <w:spacing w:line="276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4BCA503C" w14:textId="73F0FC44" w:rsidR="0061511F" w:rsidRPr="00C53C0D" w:rsidRDefault="00F84F6C" w:rsidP="00E87076">
      <w:p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Zawiadomienie uważa się za dokonane po upływie 14 dni od dnia publicznego ogłoszenia (art. 49 § 2 Kpa).</w:t>
      </w:r>
      <w:r w:rsidR="001509B6" w:rsidRPr="001509B6">
        <w:rPr>
          <w:rFonts w:ascii="Times New Roman" w:hAnsi="Times New Roman"/>
          <w:b/>
          <w:bCs/>
          <w:i/>
          <w:iCs/>
          <w:sz w:val="20"/>
        </w:rPr>
        <w:t xml:space="preserve"> </w:t>
      </w:r>
    </w:p>
    <w:sectPr w:rsidR="0061511F" w:rsidRPr="00C53C0D" w:rsidSect="00B90AF1">
      <w:headerReference w:type="first" r:id="rId8"/>
      <w:pgSz w:w="11906" w:h="16838"/>
      <w:pgMar w:top="1418" w:right="1418" w:bottom="1077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9830" w14:textId="77777777" w:rsidR="0061511F" w:rsidRDefault="0061511F" w:rsidP="0061511F">
      <w:r>
        <w:separator/>
      </w:r>
    </w:p>
  </w:endnote>
  <w:endnote w:type="continuationSeparator" w:id="0">
    <w:p w14:paraId="70271F15" w14:textId="77777777" w:rsidR="0061511F" w:rsidRDefault="0061511F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7EF8" w14:textId="77777777" w:rsidR="0061511F" w:rsidRDefault="0061511F" w:rsidP="0061511F">
      <w:r>
        <w:separator/>
      </w:r>
    </w:p>
  </w:footnote>
  <w:footnote w:type="continuationSeparator" w:id="0">
    <w:p w14:paraId="793B89BF" w14:textId="77777777" w:rsidR="0061511F" w:rsidRDefault="0061511F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53CB" w14:textId="77777777" w:rsidR="00B90AF1" w:rsidRDefault="00B90AF1">
    <w:pPr>
      <w:pStyle w:val="Nagwek"/>
    </w:pPr>
  </w:p>
  <w:p w14:paraId="336B084E" w14:textId="5BC5D0D5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101120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1CD6"/>
    <w:rsid w:val="00036B74"/>
    <w:rsid w:val="00040352"/>
    <w:rsid w:val="00074315"/>
    <w:rsid w:val="001509B6"/>
    <w:rsid w:val="0015669E"/>
    <w:rsid w:val="00270672"/>
    <w:rsid w:val="00346AE3"/>
    <w:rsid w:val="003B34D2"/>
    <w:rsid w:val="00432D04"/>
    <w:rsid w:val="0043653E"/>
    <w:rsid w:val="004E5EDC"/>
    <w:rsid w:val="00552C52"/>
    <w:rsid w:val="0058628D"/>
    <w:rsid w:val="0061511F"/>
    <w:rsid w:val="00684E72"/>
    <w:rsid w:val="006D31FC"/>
    <w:rsid w:val="0072121E"/>
    <w:rsid w:val="00751969"/>
    <w:rsid w:val="008B2BE4"/>
    <w:rsid w:val="008D55CD"/>
    <w:rsid w:val="009425BD"/>
    <w:rsid w:val="009575B5"/>
    <w:rsid w:val="009E2E32"/>
    <w:rsid w:val="00B90AF1"/>
    <w:rsid w:val="00C53C0D"/>
    <w:rsid w:val="00C60D5D"/>
    <w:rsid w:val="00C634D0"/>
    <w:rsid w:val="00D677D3"/>
    <w:rsid w:val="00DA55AB"/>
    <w:rsid w:val="00DB6D2F"/>
    <w:rsid w:val="00DF674E"/>
    <w:rsid w:val="00E00A01"/>
    <w:rsid w:val="00E15730"/>
    <w:rsid w:val="00E87076"/>
    <w:rsid w:val="00F325A9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34D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p.gminachelmza.pl/7725,ogloszenia-i-komunika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17</cp:revision>
  <cp:lastPrinted>2025-04-25T07:55:00Z</cp:lastPrinted>
  <dcterms:created xsi:type="dcterms:W3CDTF">2025-04-25T07:49:00Z</dcterms:created>
  <dcterms:modified xsi:type="dcterms:W3CDTF">2025-06-23T09:51:00Z</dcterms:modified>
</cp:coreProperties>
</file>